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B8" w:rsidRDefault="008F1526" w:rsidP="00F846B8">
      <w:pPr>
        <w:tabs>
          <w:tab w:val="left" w:pos="360"/>
          <w:tab w:val="left" w:pos="540"/>
        </w:tabs>
        <w:jc w:val="center"/>
        <w:rPr>
          <w:sz w:val="20"/>
        </w:rPr>
      </w:pPr>
      <w:r w:rsidRPr="00412A0C">
        <w:rPr>
          <w:noProof/>
        </w:rPr>
        <w:drawing>
          <wp:inline distT="0" distB="0" distL="0" distR="0">
            <wp:extent cx="520700" cy="800100"/>
            <wp:effectExtent l="0" t="0" r="0" b="0"/>
            <wp:docPr id="1" name="Рисунок 1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B8" w:rsidRDefault="00F846B8" w:rsidP="00F846B8">
      <w:pPr>
        <w:pStyle w:val="3"/>
        <w:rPr>
          <w:szCs w:val="24"/>
        </w:rPr>
      </w:pPr>
    </w:p>
    <w:p w:rsidR="00F846B8" w:rsidRDefault="00F846B8" w:rsidP="00F846B8">
      <w:pPr>
        <w:pStyle w:val="3"/>
        <w:rPr>
          <w:szCs w:val="24"/>
        </w:rPr>
      </w:pPr>
      <w:r>
        <w:rPr>
          <w:szCs w:val="24"/>
        </w:rPr>
        <w:t>РОССИЙСКАЯ ФЕДЕРАЦИЯ – РОССИЯ</w:t>
      </w:r>
    </w:p>
    <w:p w:rsidR="00F846B8" w:rsidRDefault="00F846B8" w:rsidP="00F846B8">
      <w:pPr>
        <w:jc w:val="center"/>
      </w:pPr>
      <w:r>
        <w:t>СВЕРДЛОВСКАЯ ОБЛАСТЬ</w:t>
      </w:r>
    </w:p>
    <w:p w:rsidR="00F846B8" w:rsidRDefault="00F846B8" w:rsidP="00F846B8">
      <w:pPr>
        <w:jc w:val="center"/>
      </w:pPr>
      <w:r>
        <w:t xml:space="preserve">городской </w:t>
      </w:r>
      <w:proofErr w:type="gramStart"/>
      <w:r>
        <w:t>округ</w:t>
      </w:r>
      <w:proofErr w:type="gramEnd"/>
      <w:r>
        <w:t xml:space="preserve"> ЗАТО Свободный</w:t>
      </w:r>
    </w:p>
    <w:p w:rsidR="00F846B8" w:rsidRDefault="00F846B8" w:rsidP="00F846B8">
      <w:pPr>
        <w:jc w:val="center"/>
      </w:pPr>
      <w:r>
        <w:t>37-е очередное заседание Думы городского округа</w:t>
      </w:r>
    </w:p>
    <w:p w:rsidR="00F846B8" w:rsidRDefault="00F846B8" w:rsidP="00F846B8">
      <w:pPr>
        <w:jc w:val="center"/>
      </w:pPr>
    </w:p>
    <w:p w:rsidR="00F846B8" w:rsidRDefault="00F846B8" w:rsidP="00F846B8">
      <w:pPr>
        <w:jc w:val="center"/>
      </w:pPr>
      <w:r>
        <w:t>РЕШЕНИЕ № 37/15</w:t>
      </w:r>
    </w:p>
    <w:p w:rsidR="00F846B8" w:rsidRPr="0016748B" w:rsidRDefault="0016748B" w:rsidP="00F846B8">
      <w:pPr>
        <w:jc w:val="center"/>
        <w:rPr>
          <w:sz w:val="20"/>
          <w:szCs w:val="20"/>
        </w:rPr>
      </w:pPr>
      <w:r w:rsidRPr="0016748B">
        <w:rPr>
          <w:sz w:val="20"/>
          <w:szCs w:val="20"/>
        </w:rPr>
        <w:t>(в редакции решения Думы городского округа от 19.11.2024 года № 35/4)</w:t>
      </w:r>
    </w:p>
    <w:p w:rsidR="0016748B" w:rsidRDefault="0016748B" w:rsidP="00F846B8">
      <w:pPr>
        <w:jc w:val="both"/>
        <w:rPr>
          <w:b/>
        </w:rPr>
      </w:pPr>
    </w:p>
    <w:p w:rsidR="00F846B8" w:rsidRDefault="00F846B8" w:rsidP="00F846B8">
      <w:pPr>
        <w:jc w:val="both"/>
        <w:rPr>
          <w:b/>
        </w:rPr>
      </w:pPr>
      <w:r>
        <w:rPr>
          <w:b/>
        </w:rPr>
        <w:t>от 28 ноября 2019</w:t>
      </w:r>
      <w:r w:rsidRPr="00111FE8">
        <w:rPr>
          <w:b/>
        </w:rPr>
        <w:t xml:space="preserve"> года</w:t>
      </w:r>
    </w:p>
    <w:p w:rsidR="00F846B8" w:rsidRDefault="00F846B8" w:rsidP="00F846B8">
      <w:pPr>
        <w:jc w:val="both"/>
        <w:rPr>
          <w:b/>
        </w:rPr>
      </w:pPr>
    </w:p>
    <w:p w:rsidR="00F846B8" w:rsidRDefault="00F846B8" w:rsidP="00F846B8">
      <w:pPr>
        <w:rPr>
          <w:b/>
        </w:rPr>
      </w:pPr>
      <w:r w:rsidRPr="000010F8">
        <w:rPr>
          <w:b/>
        </w:rPr>
        <w:t xml:space="preserve">Об установлении и введении в действие на территории </w:t>
      </w:r>
    </w:p>
    <w:p w:rsidR="00F846B8" w:rsidRDefault="00F846B8" w:rsidP="00F846B8">
      <w:pPr>
        <w:rPr>
          <w:b/>
        </w:rPr>
      </w:pPr>
      <w:r w:rsidRPr="000010F8">
        <w:rPr>
          <w:b/>
        </w:rPr>
        <w:t xml:space="preserve">городского </w:t>
      </w:r>
      <w:proofErr w:type="gramStart"/>
      <w:r w:rsidRPr="000010F8">
        <w:rPr>
          <w:b/>
        </w:rPr>
        <w:t>округа</w:t>
      </w:r>
      <w:proofErr w:type="gramEnd"/>
      <w:r w:rsidRPr="000010F8">
        <w:rPr>
          <w:b/>
        </w:rPr>
        <w:t xml:space="preserve"> ЗАТО Свободный Свердловской области </w:t>
      </w:r>
    </w:p>
    <w:p w:rsidR="00F846B8" w:rsidRDefault="00F846B8" w:rsidP="00F846B8">
      <w:pPr>
        <w:rPr>
          <w:b/>
        </w:rPr>
      </w:pPr>
      <w:r w:rsidRPr="000010F8">
        <w:rPr>
          <w:b/>
        </w:rPr>
        <w:t>налога на имущество физич</w:t>
      </w:r>
      <w:r w:rsidRPr="000010F8">
        <w:rPr>
          <w:b/>
        </w:rPr>
        <w:t>е</w:t>
      </w:r>
      <w:r w:rsidRPr="000010F8">
        <w:rPr>
          <w:b/>
        </w:rPr>
        <w:t>ских лиц</w:t>
      </w:r>
    </w:p>
    <w:p w:rsidR="00F846B8" w:rsidRPr="000010F8" w:rsidRDefault="00F846B8" w:rsidP="00F846B8">
      <w:pPr>
        <w:rPr>
          <w:b/>
        </w:rPr>
      </w:pPr>
    </w:p>
    <w:p w:rsidR="00F846B8" w:rsidRPr="00CE3A27" w:rsidRDefault="00F846B8" w:rsidP="00F846B8">
      <w:pPr>
        <w:ind w:firstLine="360"/>
      </w:pPr>
      <w:r w:rsidRPr="00CE3A27">
        <w:t>В соответствии с Главой 32 Налогового кодекса Российской Федерации, Федеральным законом от 06.10.2003 года № 131-ФЗ «Об общих принципах организации местного самоуправления в Ро</w:t>
      </w:r>
      <w:r w:rsidRPr="00CE3A27">
        <w:t>с</w:t>
      </w:r>
      <w:r w:rsidRPr="00CE3A27">
        <w:t>сийской Федерации», Законом Свердловской области от 26.03.2019 года № 23-ОЗ «Об установл</w:t>
      </w:r>
      <w:r w:rsidRPr="00CE3A27">
        <w:t>е</w:t>
      </w:r>
      <w:r w:rsidRPr="00CE3A27">
        <w:t>нии единой даты начала применения на территории Свердловской области порядка определения налоговой базы по налогу на имущество физических лиц исходя из кадастровой стоимости объе</w:t>
      </w:r>
      <w:r w:rsidRPr="00CE3A27">
        <w:t>к</w:t>
      </w:r>
      <w:r w:rsidRPr="00CE3A27">
        <w:t>тов нал</w:t>
      </w:r>
      <w:r w:rsidRPr="00CE3A27">
        <w:t>о</w:t>
      </w:r>
      <w:r w:rsidRPr="00CE3A27">
        <w:t>гообложения по этому налогу», руководствуясь ст. 22, 44 Устава городского округа,  Дума городского окр</w:t>
      </w:r>
      <w:r w:rsidRPr="00CE3A27">
        <w:t>у</w:t>
      </w:r>
      <w:r w:rsidRPr="00CE3A27">
        <w:t>га</w:t>
      </w:r>
    </w:p>
    <w:p w:rsidR="00F846B8" w:rsidRDefault="00F846B8" w:rsidP="00F846B8">
      <w:pPr>
        <w:pStyle w:val="a4"/>
        <w:spacing w:after="0"/>
        <w:ind w:firstLine="680"/>
        <w:jc w:val="both"/>
      </w:pPr>
    </w:p>
    <w:p w:rsidR="00F846B8" w:rsidRPr="00C16CB0" w:rsidRDefault="00F846B8" w:rsidP="00F846B8">
      <w:pPr>
        <w:ind w:firstLine="540"/>
        <w:jc w:val="center"/>
      </w:pPr>
      <w:r w:rsidRPr="00C16CB0">
        <w:t>РЕШИЛА:</w:t>
      </w:r>
    </w:p>
    <w:p w:rsidR="00F846B8" w:rsidRPr="005C6233" w:rsidRDefault="00F846B8" w:rsidP="00F846B8">
      <w:pPr>
        <w:ind w:firstLine="540"/>
        <w:jc w:val="center"/>
        <w:rPr>
          <w:b/>
        </w:rPr>
      </w:pPr>
    </w:p>
    <w:p w:rsidR="00F846B8" w:rsidRPr="00B47957" w:rsidRDefault="00F846B8" w:rsidP="00F846B8">
      <w:pPr>
        <w:tabs>
          <w:tab w:val="left" w:pos="1080"/>
        </w:tabs>
        <w:ind w:firstLine="540"/>
        <w:rPr>
          <w:bCs/>
          <w:lang w:eastAsia="en-US"/>
        </w:rPr>
      </w:pPr>
      <w:r w:rsidRPr="00B47957">
        <w:rPr>
          <w:bCs/>
          <w:lang w:eastAsia="en-US"/>
        </w:rPr>
        <w:t xml:space="preserve">1. </w:t>
      </w:r>
      <w:r>
        <w:rPr>
          <w:bCs/>
          <w:lang w:eastAsia="en-US"/>
        </w:rPr>
        <w:t xml:space="preserve">  </w:t>
      </w:r>
      <w:r w:rsidRPr="00B47957">
        <w:rPr>
          <w:bCs/>
          <w:lang w:eastAsia="en-US"/>
        </w:rPr>
        <w:t xml:space="preserve">Установить и ввести в действие с 1 января 2020 года на территории городского </w:t>
      </w:r>
      <w:proofErr w:type="gramStart"/>
      <w:r w:rsidRPr="00B47957">
        <w:rPr>
          <w:bCs/>
          <w:lang w:eastAsia="en-US"/>
        </w:rPr>
        <w:t>округа</w:t>
      </w:r>
      <w:proofErr w:type="gramEnd"/>
      <w:r w:rsidRPr="00B47957">
        <w:rPr>
          <w:bCs/>
          <w:lang w:eastAsia="en-US"/>
        </w:rPr>
        <w:t xml:space="preserve"> ЗАТО Свободный</w:t>
      </w:r>
      <w:r>
        <w:rPr>
          <w:bCs/>
          <w:lang w:eastAsia="en-US"/>
        </w:rPr>
        <w:t xml:space="preserve"> Свердловской области</w:t>
      </w:r>
      <w:r w:rsidRPr="00B47957">
        <w:rPr>
          <w:bCs/>
          <w:lang w:eastAsia="en-US"/>
        </w:rPr>
        <w:t xml:space="preserve"> налог на имущество физических лиц.</w:t>
      </w:r>
    </w:p>
    <w:p w:rsidR="00F846B8" w:rsidRPr="00B47957" w:rsidRDefault="00F846B8" w:rsidP="00F846B8">
      <w:pPr>
        <w:tabs>
          <w:tab w:val="left" w:pos="1080"/>
        </w:tabs>
        <w:ind w:firstLine="540"/>
        <w:rPr>
          <w:bCs/>
          <w:lang w:eastAsia="en-US"/>
        </w:rPr>
      </w:pPr>
      <w:r w:rsidRPr="00B47957">
        <w:rPr>
          <w:bCs/>
          <w:lang w:eastAsia="en-US"/>
        </w:rPr>
        <w:t xml:space="preserve">2. </w:t>
      </w:r>
      <w:r>
        <w:rPr>
          <w:bCs/>
          <w:lang w:eastAsia="en-US"/>
        </w:rPr>
        <w:t xml:space="preserve">  </w:t>
      </w:r>
      <w:r w:rsidRPr="00B47957">
        <w:rPr>
          <w:bCs/>
          <w:lang w:eastAsia="en-US"/>
        </w:rPr>
        <w:t>Установить, что налоговая база по налогу в отношении объектов налогообложения опр</w:t>
      </w:r>
      <w:r w:rsidRPr="00B47957">
        <w:rPr>
          <w:bCs/>
          <w:lang w:eastAsia="en-US"/>
        </w:rPr>
        <w:t>е</w:t>
      </w:r>
      <w:r w:rsidRPr="00B47957">
        <w:rPr>
          <w:bCs/>
          <w:lang w:eastAsia="en-US"/>
        </w:rPr>
        <w:t>деляется исходя из их кадастровой стоимости.</w:t>
      </w:r>
    </w:p>
    <w:p w:rsidR="00F846B8" w:rsidRDefault="00F846B8" w:rsidP="00F846B8">
      <w:pPr>
        <w:tabs>
          <w:tab w:val="left" w:pos="1080"/>
        </w:tabs>
        <w:ind w:firstLine="540"/>
        <w:rPr>
          <w:bCs/>
          <w:lang w:eastAsia="en-US"/>
        </w:rPr>
      </w:pPr>
      <w:r w:rsidRPr="00B47957">
        <w:rPr>
          <w:bCs/>
          <w:lang w:eastAsia="en-US"/>
        </w:rPr>
        <w:t xml:space="preserve">3. </w:t>
      </w:r>
      <w:r>
        <w:rPr>
          <w:bCs/>
          <w:lang w:eastAsia="en-US"/>
        </w:rPr>
        <w:t xml:space="preserve">  </w:t>
      </w:r>
      <w:r w:rsidRPr="00B47957">
        <w:rPr>
          <w:bCs/>
          <w:lang w:eastAsia="en-US"/>
        </w:rPr>
        <w:t>Утвердить дифференцированные ставки налога на имущество физических лиц на терр</w:t>
      </w:r>
      <w:r w:rsidRPr="00B47957">
        <w:rPr>
          <w:bCs/>
          <w:lang w:eastAsia="en-US"/>
        </w:rPr>
        <w:t>и</w:t>
      </w:r>
      <w:r w:rsidRPr="00B47957">
        <w:rPr>
          <w:bCs/>
          <w:lang w:eastAsia="en-US"/>
        </w:rPr>
        <w:t xml:space="preserve">тории городского </w:t>
      </w:r>
      <w:proofErr w:type="gramStart"/>
      <w:r w:rsidRPr="00B47957">
        <w:rPr>
          <w:bCs/>
          <w:lang w:eastAsia="en-US"/>
        </w:rPr>
        <w:t>округа</w:t>
      </w:r>
      <w:proofErr w:type="gramEnd"/>
      <w:r w:rsidRPr="00B47957">
        <w:rPr>
          <w:bCs/>
          <w:lang w:eastAsia="en-US"/>
        </w:rPr>
        <w:t xml:space="preserve"> ЗАТО Свободный </w:t>
      </w:r>
      <w:r>
        <w:rPr>
          <w:bCs/>
          <w:lang w:eastAsia="en-US"/>
        </w:rPr>
        <w:t xml:space="preserve">Свердловской области </w:t>
      </w:r>
      <w:r w:rsidRPr="00B47957">
        <w:rPr>
          <w:bCs/>
          <w:lang w:eastAsia="en-US"/>
        </w:rPr>
        <w:t>в зависимости</w:t>
      </w:r>
      <w:r>
        <w:rPr>
          <w:bCs/>
          <w:lang w:eastAsia="en-US"/>
        </w:rPr>
        <w:t xml:space="preserve"> </w:t>
      </w:r>
      <w:r w:rsidRPr="00B47957">
        <w:rPr>
          <w:bCs/>
          <w:lang w:eastAsia="en-US"/>
        </w:rPr>
        <w:t>от кадастровой сто</w:t>
      </w:r>
      <w:r w:rsidRPr="00B47957">
        <w:rPr>
          <w:bCs/>
          <w:lang w:eastAsia="en-US"/>
        </w:rPr>
        <w:t>и</w:t>
      </w:r>
      <w:r w:rsidRPr="00B47957">
        <w:rPr>
          <w:bCs/>
          <w:lang w:eastAsia="en-US"/>
        </w:rPr>
        <w:t>мости объекта налогообложения (прил</w:t>
      </w:r>
      <w:r>
        <w:rPr>
          <w:bCs/>
          <w:lang w:eastAsia="en-US"/>
        </w:rPr>
        <w:t>агается</w:t>
      </w:r>
      <w:r w:rsidRPr="00B47957">
        <w:rPr>
          <w:bCs/>
          <w:lang w:eastAsia="en-US"/>
        </w:rPr>
        <w:t>).</w:t>
      </w:r>
    </w:p>
    <w:p w:rsidR="0016748B" w:rsidRDefault="0016748B" w:rsidP="00F846B8">
      <w:pPr>
        <w:tabs>
          <w:tab w:val="left" w:pos="1080"/>
        </w:tabs>
        <w:ind w:firstLine="540"/>
        <w:rPr>
          <w:color w:val="000000"/>
          <w:lang w:eastAsia="zh-CN"/>
        </w:rPr>
      </w:pPr>
      <w:r w:rsidRPr="00545D95">
        <w:rPr>
          <w:color w:val="000000"/>
          <w:lang w:eastAsia="zh-CN"/>
        </w:rPr>
        <w:t>3.1. Утвердить ставку налога на имущество физических лиц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Федерации.</w:t>
      </w:r>
    </w:p>
    <w:p w:rsidR="0016748B" w:rsidRPr="0016748B" w:rsidRDefault="0016748B" w:rsidP="0016748B">
      <w:pPr>
        <w:rPr>
          <w:sz w:val="20"/>
          <w:szCs w:val="20"/>
        </w:rPr>
      </w:pPr>
      <w:r w:rsidRPr="0016748B">
        <w:rPr>
          <w:sz w:val="20"/>
          <w:szCs w:val="20"/>
        </w:rPr>
        <w:t>(</w:t>
      </w:r>
      <w:r>
        <w:rPr>
          <w:sz w:val="20"/>
          <w:szCs w:val="20"/>
        </w:rPr>
        <w:t xml:space="preserve">пункт 3.1 введен </w:t>
      </w:r>
      <w:r w:rsidRPr="0016748B">
        <w:rPr>
          <w:sz w:val="20"/>
          <w:szCs w:val="20"/>
        </w:rPr>
        <w:t>в редакции решения Думы городского округа от 19.11.2024 года № 35/4)</w:t>
      </w:r>
    </w:p>
    <w:p w:rsidR="0016748B" w:rsidRDefault="0016748B" w:rsidP="00F846B8">
      <w:pPr>
        <w:tabs>
          <w:tab w:val="left" w:pos="1080"/>
        </w:tabs>
        <w:ind w:firstLine="540"/>
        <w:rPr>
          <w:bCs/>
          <w:lang w:eastAsia="en-US"/>
        </w:rPr>
      </w:pPr>
      <w:r w:rsidRPr="0016748B">
        <w:rPr>
          <w:bCs/>
          <w:lang w:eastAsia="en-US"/>
        </w:rPr>
        <w:t>3.2 Утвердить ставку налога на имущество физических лиц 2,5 процента в отношении объектов налогообложения, кадастровая стоимость каждого из которых превышает 300 миллионов рублей.</w:t>
      </w:r>
    </w:p>
    <w:p w:rsidR="0016748B" w:rsidRPr="0016748B" w:rsidRDefault="0016748B" w:rsidP="0016748B">
      <w:pPr>
        <w:rPr>
          <w:sz w:val="20"/>
          <w:szCs w:val="20"/>
        </w:rPr>
      </w:pPr>
      <w:r w:rsidRPr="0016748B">
        <w:rPr>
          <w:sz w:val="20"/>
          <w:szCs w:val="20"/>
        </w:rPr>
        <w:t>(</w:t>
      </w:r>
      <w:r>
        <w:rPr>
          <w:sz w:val="20"/>
          <w:szCs w:val="20"/>
        </w:rPr>
        <w:t>пункт 3.2</w:t>
      </w:r>
      <w:r>
        <w:rPr>
          <w:sz w:val="20"/>
          <w:szCs w:val="20"/>
        </w:rPr>
        <w:t xml:space="preserve"> введен </w:t>
      </w:r>
      <w:r w:rsidRPr="0016748B">
        <w:rPr>
          <w:sz w:val="20"/>
          <w:szCs w:val="20"/>
        </w:rPr>
        <w:t>в редакции решения Думы городского округа от 19.11.2024 года № 35/4)</w:t>
      </w:r>
    </w:p>
    <w:p w:rsidR="00F846B8" w:rsidRPr="00B47957" w:rsidRDefault="00F846B8" w:rsidP="00F846B8">
      <w:pPr>
        <w:tabs>
          <w:tab w:val="left" w:pos="1080"/>
        </w:tabs>
        <w:ind w:firstLine="540"/>
        <w:rPr>
          <w:bCs/>
          <w:lang w:eastAsia="en-US"/>
        </w:rPr>
      </w:pPr>
      <w:r w:rsidRPr="00B47957">
        <w:rPr>
          <w:bCs/>
          <w:lang w:eastAsia="en-US"/>
        </w:rPr>
        <w:t xml:space="preserve">4. </w:t>
      </w:r>
      <w:r>
        <w:rPr>
          <w:bCs/>
          <w:lang w:eastAsia="en-US"/>
        </w:rPr>
        <w:t xml:space="preserve">  </w:t>
      </w:r>
      <w:r w:rsidRPr="00B47957">
        <w:rPr>
          <w:bCs/>
          <w:lang w:eastAsia="en-US"/>
        </w:rPr>
        <w:t>Право на налоговую льготу имеют категории налогоплательщиков, предусмотренные статьей 407 Налогового кодекса Российской Федерации, а также:</w:t>
      </w:r>
    </w:p>
    <w:p w:rsidR="00F846B8" w:rsidRPr="00B47957" w:rsidRDefault="00F846B8" w:rsidP="00F846B8">
      <w:pPr>
        <w:tabs>
          <w:tab w:val="left" w:pos="1080"/>
        </w:tabs>
        <w:ind w:firstLine="540"/>
        <w:rPr>
          <w:bCs/>
          <w:lang w:eastAsia="en-US"/>
        </w:rPr>
      </w:pPr>
      <w:r w:rsidRPr="00B47957">
        <w:rPr>
          <w:bCs/>
          <w:lang w:eastAsia="en-US"/>
        </w:rPr>
        <w:t xml:space="preserve">1) Почетные граждане Муниципального </w:t>
      </w:r>
      <w:proofErr w:type="gramStart"/>
      <w:r w:rsidRPr="00B47957">
        <w:rPr>
          <w:bCs/>
          <w:lang w:eastAsia="en-US"/>
        </w:rPr>
        <w:t>образования</w:t>
      </w:r>
      <w:proofErr w:type="gramEnd"/>
      <w:r w:rsidRPr="00B47957">
        <w:rPr>
          <w:bCs/>
          <w:lang w:eastAsia="en-US"/>
        </w:rPr>
        <w:t xml:space="preserve"> ЗАТО Свободный и Почетные граждане городского округа ЗАТО Свободный;</w:t>
      </w:r>
    </w:p>
    <w:p w:rsidR="00F846B8" w:rsidRPr="00B47957" w:rsidRDefault="00F846B8" w:rsidP="00F846B8">
      <w:pPr>
        <w:tabs>
          <w:tab w:val="left" w:pos="1080"/>
        </w:tabs>
        <w:ind w:firstLine="540"/>
        <w:rPr>
          <w:bCs/>
          <w:lang w:eastAsia="en-US"/>
        </w:rPr>
      </w:pPr>
      <w:r w:rsidRPr="00B47957">
        <w:rPr>
          <w:bCs/>
          <w:lang w:eastAsia="en-US"/>
        </w:rPr>
        <w:t xml:space="preserve">2) семьи, имеющие 3-х и более детей в возрасте до 18 лет; </w:t>
      </w:r>
    </w:p>
    <w:p w:rsidR="00F846B8" w:rsidRDefault="00F846B8" w:rsidP="00F846B8">
      <w:pPr>
        <w:tabs>
          <w:tab w:val="left" w:pos="1080"/>
        </w:tabs>
        <w:ind w:firstLine="540"/>
        <w:rPr>
          <w:bCs/>
          <w:lang w:eastAsia="en-US"/>
        </w:rPr>
      </w:pPr>
      <w:r w:rsidRPr="00B47957">
        <w:rPr>
          <w:bCs/>
          <w:lang w:eastAsia="en-US"/>
        </w:rPr>
        <w:t>3) дети-сироты в возрасте до 23 лет;</w:t>
      </w:r>
    </w:p>
    <w:p w:rsidR="00F846B8" w:rsidRPr="00F374E5" w:rsidRDefault="00F846B8" w:rsidP="00F846B8">
      <w:pPr>
        <w:tabs>
          <w:tab w:val="left" w:pos="1080"/>
        </w:tabs>
        <w:ind w:firstLine="540"/>
        <w:rPr>
          <w:bCs/>
          <w:lang w:eastAsia="en-US"/>
        </w:rPr>
      </w:pPr>
      <w:r w:rsidRPr="00F374E5">
        <w:rPr>
          <w:bCs/>
          <w:lang w:eastAsia="en-US"/>
        </w:rPr>
        <w:t>4) народные дружинники, являющиеся членами народной дружины, осуществляющей де</w:t>
      </w:r>
      <w:r w:rsidRPr="00F374E5">
        <w:rPr>
          <w:bCs/>
          <w:lang w:eastAsia="en-US"/>
        </w:rPr>
        <w:t>я</w:t>
      </w:r>
      <w:r w:rsidRPr="00F374E5">
        <w:rPr>
          <w:bCs/>
          <w:lang w:eastAsia="en-US"/>
        </w:rPr>
        <w:t xml:space="preserve">тельность на территории городского </w:t>
      </w:r>
      <w:proofErr w:type="gramStart"/>
      <w:r w:rsidRPr="00F374E5">
        <w:rPr>
          <w:bCs/>
          <w:lang w:eastAsia="en-US"/>
        </w:rPr>
        <w:t>округа</w:t>
      </w:r>
      <w:proofErr w:type="gramEnd"/>
      <w:r w:rsidRPr="00F374E5">
        <w:rPr>
          <w:bCs/>
          <w:lang w:eastAsia="en-US"/>
        </w:rPr>
        <w:t xml:space="preserve"> ЗАТО Свободный.</w:t>
      </w:r>
    </w:p>
    <w:p w:rsidR="00F846B8" w:rsidRDefault="00F846B8" w:rsidP="00F846B8">
      <w:pPr>
        <w:tabs>
          <w:tab w:val="left" w:pos="1080"/>
        </w:tabs>
        <w:ind w:firstLine="540"/>
        <w:rPr>
          <w:bCs/>
          <w:lang w:eastAsia="en-US"/>
        </w:rPr>
      </w:pPr>
      <w:r>
        <w:rPr>
          <w:bCs/>
          <w:lang w:eastAsia="en-US"/>
        </w:rPr>
        <w:lastRenderedPageBreak/>
        <w:t>5.   Признать утратившими силу р</w:t>
      </w:r>
      <w:r w:rsidRPr="00B47957">
        <w:rPr>
          <w:bCs/>
          <w:lang w:eastAsia="en-US"/>
        </w:rPr>
        <w:t xml:space="preserve">ешение Думы городского округа от 28.10.2014 № 41/7 «Об установлении на территории городского </w:t>
      </w:r>
      <w:proofErr w:type="gramStart"/>
      <w:r w:rsidRPr="00B47957">
        <w:rPr>
          <w:bCs/>
          <w:lang w:eastAsia="en-US"/>
        </w:rPr>
        <w:t>округа</w:t>
      </w:r>
      <w:proofErr w:type="gramEnd"/>
      <w:r w:rsidRPr="00B47957">
        <w:rPr>
          <w:bCs/>
          <w:lang w:eastAsia="en-US"/>
        </w:rPr>
        <w:t xml:space="preserve"> ЗАТО Свободный налога на имущество физич</w:t>
      </w:r>
      <w:r w:rsidRPr="00B47957">
        <w:rPr>
          <w:bCs/>
          <w:lang w:eastAsia="en-US"/>
        </w:rPr>
        <w:t>е</w:t>
      </w:r>
      <w:r w:rsidRPr="00B47957">
        <w:rPr>
          <w:bCs/>
          <w:lang w:eastAsia="en-US"/>
        </w:rPr>
        <w:t>ских лиц».</w:t>
      </w:r>
    </w:p>
    <w:p w:rsidR="00F846B8" w:rsidRDefault="00F846B8" w:rsidP="00F846B8">
      <w:pPr>
        <w:tabs>
          <w:tab w:val="left" w:pos="1080"/>
        </w:tabs>
        <w:ind w:firstLine="540"/>
      </w:pPr>
      <w:r>
        <w:t xml:space="preserve">6.   </w:t>
      </w:r>
      <w:r w:rsidRPr="00F13778">
        <w:t>Решение опубликовать в газете «Свободные вести»</w:t>
      </w:r>
      <w:r w:rsidRPr="00701534">
        <w:t xml:space="preserve"> </w:t>
      </w:r>
      <w:r w:rsidRPr="00325B99">
        <w:t xml:space="preserve">и разместить на официальном сайте </w:t>
      </w:r>
      <w:r>
        <w:t xml:space="preserve">Думы </w:t>
      </w:r>
      <w:r w:rsidRPr="00325B99">
        <w:t xml:space="preserve">городского </w:t>
      </w:r>
      <w:proofErr w:type="gramStart"/>
      <w:r w:rsidRPr="00325B99">
        <w:t>округа</w:t>
      </w:r>
      <w:proofErr w:type="gramEnd"/>
      <w:r w:rsidRPr="00325B99">
        <w:t xml:space="preserve"> ЗАТО Свобо</w:t>
      </w:r>
      <w:r w:rsidRPr="00325B99">
        <w:t>д</w:t>
      </w:r>
      <w:r w:rsidRPr="00325B99">
        <w:t>ный.</w:t>
      </w:r>
    </w:p>
    <w:p w:rsidR="00F846B8" w:rsidRPr="003E7A41" w:rsidRDefault="00F846B8" w:rsidP="00F846B8">
      <w:pPr>
        <w:ind w:firstLine="540"/>
        <w:jc w:val="both"/>
      </w:pPr>
      <w:r>
        <w:t>7</w:t>
      </w:r>
      <w:r w:rsidRPr="00B47957">
        <w:t xml:space="preserve">. </w:t>
      </w:r>
      <w:r>
        <w:t xml:space="preserve">  </w:t>
      </w:r>
      <w:r w:rsidRPr="00B47957">
        <w:t xml:space="preserve">Решение вступает в силу </w:t>
      </w:r>
      <w:r>
        <w:t>с момента</w:t>
      </w:r>
      <w:r w:rsidRPr="00B47957">
        <w:t xml:space="preserve"> опубликования</w:t>
      </w:r>
      <w:r>
        <w:t xml:space="preserve"> </w:t>
      </w:r>
      <w:r w:rsidRPr="00F13778">
        <w:t>в газете «Свободные вести»</w:t>
      </w:r>
      <w:r>
        <w:t>.</w:t>
      </w:r>
    </w:p>
    <w:p w:rsidR="00F846B8" w:rsidRPr="00157FAA" w:rsidRDefault="00F846B8" w:rsidP="00F846B8">
      <w:pPr>
        <w:tabs>
          <w:tab w:val="left" w:pos="1080"/>
          <w:tab w:val="left" w:pos="1260"/>
        </w:tabs>
        <w:ind w:firstLine="540"/>
      </w:pPr>
      <w:r>
        <w:t>8</w:t>
      </w:r>
      <w:r w:rsidRPr="00157FAA">
        <w:t xml:space="preserve">.   Контроль за исполнением решения возложить на </w:t>
      </w:r>
      <w:r w:rsidRPr="00C370AE">
        <w:t xml:space="preserve">председателя </w:t>
      </w:r>
      <w:r>
        <w:t>комиссии по законод</w:t>
      </w:r>
      <w:r>
        <w:t>а</w:t>
      </w:r>
      <w:r>
        <w:t>тельству</w:t>
      </w:r>
      <w:r w:rsidRPr="00157FAA">
        <w:t xml:space="preserve"> </w:t>
      </w:r>
      <w:r>
        <w:t xml:space="preserve">Ж.М. </w:t>
      </w:r>
      <w:proofErr w:type="spellStart"/>
      <w:r>
        <w:t>Барабанщикову</w:t>
      </w:r>
      <w:proofErr w:type="spellEnd"/>
      <w:r w:rsidRPr="00157FAA">
        <w:t>.</w:t>
      </w:r>
    </w:p>
    <w:p w:rsidR="00F846B8" w:rsidRDefault="00F846B8" w:rsidP="00F846B8">
      <w:pPr>
        <w:rPr>
          <w:b/>
        </w:rPr>
      </w:pPr>
    </w:p>
    <w:p w:rsidR="00F846B8" w:rsidRDefault="00F846B8" w:rsidP="00F846B8">
      <w:pPr>
        <w:rPr>
          <w:b/>
        </w:rPr>
      </w:pPr>
    </w:p>
    <w:p w:rsidR="00F846B8" w:rsidRDefault="00F846B8" w:rsidP="00F846B8">
      <w:pPr>
        <w:rPr>
          <w:b/>
        </w:rPr>
      </w:pPr>
      <w:r>
        <w:rPr>
          <w:b/>
        </w:rPr>
        <w:t xml:space="preserve">Глава </w:t>
      </w:r>
      <w:r w:rsidRPr="00BC0F19">
        <w:rPr>
          <w:b/>
        </w:rPr>
        <w:t xml:space="preserve">городского округа </w:t>
      </w:r>
    </w:p>
    <w:p w:rsidR="00F846B8" w:rsidRDefault="00F846B8" w:rsidP="00F846B8">
      <w:pPr>
        <w:rPr>
          <w:b/>
        </w:rPr>
      </w:pPr>
      <w:r w:rsidRPr="00BC0F19">
        <w:rPr>
          <w:b/>
        </w:rPr>
        <w:t>ЗАТО Свободный</w:t>
      </w:r>
      <w:r w:rsidRPr="00BC0F19">
        <w:rPr>
          <w:b/>
        </w:rPr>
        <w:tab/>
        <w:t xml:space="preserve">                                          </w:t>
      </w:r>
      <w:r>
        <w:rPr>
          <w:b/>
        </w:rPr>
        <w:t xml:space="preserve">       </w:t>
      </w:r>
      <w:r w:rsidRPr="00BC0F19">
        <w:rPr>
          <w:b/>
        </w:rPr>
        <w:t xml:space="preserve">                    </w:t>
      </w:r>
      <w:r>
        <w:rPr>
          <w:b/>
        </w:rPr>
        <w:t xml:space="preserve">        </w:t>
      </w:r>
      <w:r w:rsidRPr="00BC0F19">
        <w:rPr>
          <w:b/>
        </w:rPr>
        <w:t xml:space="preserve"> </w:t>
      </w:r>
      <w:r>
        <w:rPr>
          <w:b/>
        </w:rPr>
        <w:t xml:space="preserve">                 </w:t>
      </w:r>
      <w:r w:rsidRPr="00BC0F19">
        <w:rPr>
          <w:b/>
        </w:rPr>
        <w:t xml:space="preserve">   </w:t>
      </w:r>
      <w:r>
        <w:rPr>
          <w:b/>
        </w:rPr>
        <w:t>В.В. МЕЛ</w:t>
      </w:r>
      <w:r>
        <w:rPr>
          <w:b/>
        </w:rPr>
        <w:t>Ь</w:t>
      </w:r>
      <w:r>
        <w:rPr>
          <w:b/>
        </w:rPr>
        <w:t>НИКОВ</w:t>
      </w:r>
    </w:p>
    <w:p w:rsidR="00F846B8" w:rsidRDefault="00F846B8" w:rsidP="00F846B8">
      <w:pPr>
        <w:rPr>
          <w:b/>
        </w:rPr>
      </w:pPr>
    </w:p>
    <w:p w:rsidR="0016748B" w:rsidRDefault="0016748B" w:rsidP="00F846B8">
      <w:pPr>
        <w:pStyle w:val="40"/>
        <w:shd w:val="clear" w:color="auto" w:fill="auto"/>
        <w:spacing w:before="0" w:line="240" w:lineRule="auto"/>
        <w:ind w:left="5954" w:firstLine="0"/>
        <w:jc w:val="right"/>
        <w:rPr>
          <w:sz w:val="24"/>
          <w:szCs w:val="24"/>
          <w:lang w:val="ru-RU"/>
        </w:rPr>
      </w:pPr>
    </w:p>
    <w:p w:rsidR="0016748B" w:rsidRDefault="0016748B" w:rsidP="00F846B8">
      <w:pPr>
        <w:pStyle w:val="40"/>
        <w:shd w:val="clear" w:color="auto" w:fill="auto"/>
        <w:spacing w:before="0" w:line="240" w:lineRule="auto"/>
        <w:ind w:left="5954" w:firstLine="0"/>
        <w:jc w:val="right"/>
        <w:rPr>
          <w:sz w:val="24"/>
          <w:szCs w:val="24"/>
          <w:lang w:val="ru-RU"/>
        </w:rPr>
      </w:pPr>
    </w:p>
    <w:p w:rsidR="0016748B" w:rsidRDefault="0016748B" w:rsidP="00F846B8">
      <w:pPr>
        <w:pStyle w:val="40"/>
        <w:shd w:val="clear" w:color="auto" w:fill="auto"/>
        <w:spacing w:before="0" w:line="240" w:lineRule="auto"/>
        <w:ind w:left="5954" w:firstLine="0"/>
        <w:jc w:val="right"/>
        <w:rPr>
          <w:sz w:val="24"/>
          <w:szCs w:val="24"/>
          <w:lang w:val="ru-RU"/>
        </w:rPr>
      </w:pPr>
    </w:p>
    <w:p w:rsidR="0016748B" w:rsidRDefault="0016748B" w:rsidP="00F846B8">
      <w:pPr>
        <w:pStyle w:val="40"/>
        <w:shd w:val="clear" w:color="auto" w:fill="auto"/>
        <w:spacing w:before="0" w:line="240" w:lineRule="auto"/>
        <w:ind w:left="5954" w:firstLine="0"/>
        <w:jc w:val="right"/>
        <w:rPr>
          <w:sz w:val="24"/>
          <w:szCs w:val="24"/>
          <w:lang w:val="ru-RU"/>
        </w:rPr>
      </w:pPr>
    </w:p>
    <w:p w:rsidR="00F846B8" w:rsidRPr="00B16D02" w:rsidRDefault="00F846B8" w:rsidP="00F846B8">
      <w:pPr>
        <w:pStyle w:val="40"/>
        <w:shd w:val="clear" w:color="auto" w:fill="auto"/>
        <w:spacing w:before="0" w:line="240" w:lineRule="auto"/>
        <w:ind w:left="5954" w:firstLine="0"/>
        <w:jc w:val="right"/>
        <w:rPr>
          <w:sz w:val="24"/>
          <w:szCs w:val="24"/>
          <w:lang w:val="ru-RU"/>
        </w:rPr>
      </w:pPr>
      <w:bookmarkStart w:id="0" w:name="_GoBack"/>
      <w:bookmarkEnd w:id="0"/>
      <w:r w:rsidRPr="00B16D02">
        <w:rPr>
          <w:sz w:val="24"/>
          <w:szCs w:val="24"/>
          <w:lang w:val="ru-RU"/>
        </w:rPr>
        <w:t>Утверждены</w:t>
      </w:r>
    </w:p>
    <w:p w:rsidR="00F846B8" w:rsidRPr="00B16D02" w:rsidRDefault="00F846B8" w:rsidP="00F846B8">
      <w:pPr>
        <w:pStyle w:val="40"/>
        <w:shd w:val="clear" w:color="auto" w:fill="auto"/>
        <w:spacing w:before="0" w:line="240" w:lineRule="auto"/>
        <w:ind w:left="5954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B16D02">
        <w:rPr>
          <w:sz w:val="24"/>
          <w:szCs w:val="24"/>
        </w:rPr>
        <w:t>ешени</w:t>
      </w:r>
      <w:r w:rsidRPr="00B16D02">
        <w:rPr>
          <w:sz w:val="24"/>
          <w:szCs w:val="24"/>
          <w:lang w:val="ru-RU"/>
        </w:rPr>
        <w:t xml:space="preserve">ем </w:t>
      </w:r>
      <w:r w:rsidRPr="00B16D02">
        <w:rPr>
          <w:sz w:val="24"/>
          <w:szCs w:val="24"/>
        </w:rPr>
        <w:t xml:space="preserve">Думы  </w:t>
      </w:r>
    </w:p>
    <w:p w:rsidR="00F846B8" w:rsidRPr="00B16D02" w:rsidRDefault="00F846B8" w:rsidP="00F846B8">
      <w:pPr>
        <w:pStyle w:val="40"/>
        <w:shd w:val="clear" w:color="auto" w:fill="auto"/>
        <w:spacing w:before="0" w:line="240" w:lineRule="auto"/>
        <w:ind w:left="5954" w:firstLine="0"/>
        <w:jc w:val="right"/>
        <w:rPr>
          <w:sz w:val="24"/>
          <w:szCs w:val="24"/>
          <w:lang w:val="ru-RU"/>
        </w:rPr>
      </w:pPr>
      <w:r w:rsidRPr="00B16D02">
        <w:rPr>
          <w:sz w:val="24"/>
          <w:szCs w:val="24"/>
        </w:rPr>
        <w:t xml:space="preserve">городского округа </w:t>
      </w:r>
    </w:p>
    <w:p w:rsidR="00F846B8" w:rsidRPr="00B16D02" w:rsidRDefault="00F846B8" w:rsidP="00F846B8">
      <w:pPr>
        <w:pStyle w:val="40"/>
        <w:shd w:val="clear" w:color="auto" w:fill="auto"/>
        <w:spacing w:before="0" w:line="240" w:lineRule="auto"/>
        <w:ind w:left="5954" w:firstLine="0"/>
        <w:jc w:val="right"/>
        <w:rPr>
          <w:sz w:val="24"/>
          <w:szCs w:val="24"/>
          <w:lang w:val="ru-RU"/>
        </w:rPr>
      </w:pPr>
      <w:r w:rsidRPr="00B16D02">
        <w:rPr>
          <w:sz w:val="24"/>
          <w:szCs w:val="24"/>
        </w:rPr>
        <w:t xml:space="preserve">от </w:t>
      </w:r>
      <w:r>
        <w:rPr>
          <w:sz w:val="24"/>
          <w:szCs w:val="24"/>
          <w:lang w:val="ru-RU"/>
        </w:rPr>
        <w:t>28.11.</w:t>
      </w:r>
      <w:r>
        <w:rPr>
          <w:sz w:val="24"/>
          <w:szCs w:val="24"/>
        </w:rPr>
        <w:t>2019 года №</w:t>
      </w:r>
      <w:r>
        <w:rPr>
          <w:sz w:val="24"/>
          <w:szCs w:val="24"/>
          <w:lang w:val="ru-RU"/>
        </w:rPr>
        <w:t xml:space="preserve"> 37/15</w:t>
      </w:r>
    </w:p>
    <w:p w:rsidR="00F846B8" w:rsidRPr="00B16D02" w:rsidRDefault="00F846B8" w:rsidP="00F846B8">
      <w:pPr>
        <w:jc w:val="right"/>
      </w:pPr>
    </w:p>
    <w:p w:rsidR="00F846B8" w:rsidRPr="00B16D02" w:rsidRDefault="00F846B8" w:rsidP="00F846B8">
      <w:pPr>
        <w:pStyle w:val="40"/>
        <w:shd w:val="clear" w:color="auto" w:fill="auto"/>
        <w:spacing w:before="0" w:line="240" w:lineRule="auto"/>
        <w:ind w:left="6920" w:firstLine="0"/>
        <w:jc w:val="left"/>
        <w:rPr>
          <w:sz w:val="24"/>
          <w:szCs w:val="24"/>
        </w:rPr>
      </w:pPr>
    </w:p>
    <w:p w:rsidR="00F846B8" w:rsidRPr="00B16D02" w:rsidRDefault="00F846B8" w:rsidP="00F846B8">
      <w:pPr>
        <w:pStyle w:val="20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B16D02">
        <w:rPr>
          <w:b/>
          <w:color w:val="000000"/>
          <w:sz w:val="24"/>
          <w:szCs w:val="24"/>
        </w:rPr>
        <w:t>Дифференцированные ставки налога на имущество физических лиц</w:t>
      </w:r>
    </w:p>
    <w:p w:rsidR="00F846B8" w:rsidRPr="00B16D02" w:rsidRDefault="00F846B8" w:rsidP="00F846B8">
      <w:pPr>
        <w:pStyle w:val="20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B16D02">
        <w:rPr>
          <w:b/>
          <w:color w:val="000000"/>
          <w:sz w:val="24"/>
          <w:szCs w:val="24"/>
        </w:rPr>
        <w:t xml:space="preserve">на территории городского округа ЗАТО Свободный в зависимости </w:t>
      </w:r>
    </w:p>
    <w:p w:rsidR="00F846B8" w:rsidRPr="00B16D02" w:rsidRDefault="00F846B8" w:rsidP="00F846B8">
      <w:pPr>
        <w:pStyle w:val="20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B16D02">
        <w:rPr>
          <w:b/>
          <w:color w:val="000000"/>
          <w:sz w:val="24"/>
          <w:szCs w:val="24"/>
        </w:rPr>
        <w:t>от кадастровой стоимости объекта налогообложения</w:t>
      </w:r>
    </w:p>
    <w:p w:rsidR="00F846B8" w:rsidRPr="00B16D02" w:rsidRDefault="00F846B8" w:rsidP="00F846B8">
      <w:pPr>
        <w:pStyle w:val="20"/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W w:w="9222" w:type="dxa"/>
        <w:tblLook w:val="00A0" w:firstRow="1" w:lastRow="0" w:firstColumn="1" w:lastColumn="0" w:noHBand="0" w:noVBand="0"/>
      </w:tblPr>
      <w:tblGrid>
        <w:gridCol w:w="2425"/>
        <w:gridCol w:w="1175"/>
        <w:gridCol w:w="2815"/>
        <w:gridCol w:w="2807"/>
      </w:tblGrid>
      <w:tr w:rsidR="00F846B8" w:rsidRPr="00B16D02">
        <w:trPr>
          <w:trHeight w:val="300"/>
        </w:trPr>
        <w:tc>
          <w:tcPr>
            <w:tcW w:w="9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jc w:val="center"/>
            </w:pPr>
          </w:p>
        </w:tc>
      </w:tr>
      <w:tr w:rsidR="00F846B8" w:rsidRPr="00B16D02">
        <w:trPr>
          <w:trHeight w:val="190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  <w:jc w:val="center"/>
              <w:rPr>
                <w:bCs/>
              </w:rPr>
            </w:pPr>
            <w:r w:rsidRPr="00B16D02">
              <w:rPr>
                <w:bCs/>
              </w:rPr>
              <w:t>Объекты налогообложения,</w:t>
            </w:r>
          </w:p>
          <w:p w:rsidR="00F846B8" w:rsidRPr="00B16D02" w:rsidRDefault="00F846B8" w:rsidP="00F846B8">
            <w:pPr>
              <w:pStyle w:val="a4"/>
              <w:spacing w:line="322" w:lineRule="exact"/>
              <w:ind w:firstLine="49"/>
              <w:jc w:val="center"/>
            </w:pPr>
            <w:r w:rsidRPr="00B16D02">
              <w:rPr>
                <w:bCs/>
              </w:rPr>
              <w:t>в отношении которых устанавливается налог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  <w:jc w:val="center"/>
            </w:pPr>
            <w:r w:rsidRPr="00B16D02">
              <w:t>Ставка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  <w:jc w:val="center"/>
            </w:pPr>
            <w:r w:rsidRPr="00B16D02">
              <w:t>Лимит кадастровой стоимости для дифференцированной ставки руб.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  <w:jc w:val="center"/>
            </w:pPr>
            <w:r w:rsidRPr="00B16D02">
              <w:t>Дифференцированная ставка при кадастровой стоимости свыше установленного лимита</w:t>
            </w:r>
          </w:p>
        </w:tc>
      </w:tr>
      <w:tr w:rsidR="00F846B8" w:rsidRPr="00B16D0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Гараж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0,1 %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300000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0,3 %</w:t>
            </w:r>
          </w:p>
        </w:tc>
      </w:tr>
      <w:tr w:rsidR="00F846B8" w:rsidRPr="00B16D02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Машино-место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0,1 %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300000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0,3 %</w:t>
            </w:r>
          </w:p>
        </w:tc>
      </w:tr>
      <w:tr w:rsidR="00F846B8" w:rsidRPr="00B16D02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Квартира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0,1 %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1000000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0,3 %</w:t>
            </w:r>
          </w:p>
        </w:tc>
      </w:tr>
      <w:tr w:rsidR="00F846B8" w:rsidRPr="00B16D0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Комната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0,1 %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500000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0,3 %</w:t>
            </w:r>
          </w:p>
        </w:tc>
      </w:tr>
      <w:tr w:rsidR="00F846B8" w:rsidRPr="00B16D02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0,1 %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1000000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0,3 %</w:t>
            </w:r>
          </w:p>
        </w:tc>
      </w:tr>
      <w:tr w:rsidR="00F846B8" w:rsidRPr="00B16D02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Объект незавершенного строительства (Жилой дом)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0,1 %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1000000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0,3 %</w:t>
            </w:r>
          </w:p>
        </w:tc>
      </w:tr>
      <w:tr w:rsidR="00F846B8" w:rsidRPr="00B16D0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Часть жилого дома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0,1 %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500000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0,3 %</w:t>
            </w:r>
          </w:p>
        </w:tc>
      </w:tr>
      <w:tr w:rsidR="00F846B8" w:rsidRPr="00B16D02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Прочие объекты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0,5 %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6B8" w:rsidRPr="00B16D02" w:rsidRDefault="00F846B8" w:rsidP="00F846B8">
            <w:pPr>
              <w:pStyle w:val="a4"/>
              <w:spacing w:line="322" w:lineRule="exact"/>
              <w:ind w:firstLine="49"/>
            </w:pPr>
            <w:r w:rsidRPr="00B16D02">
              <w:t>0,0 %</w:t>
            </w:r>
          </w:p>
        </w:tc>
      </w:tr>
    </w:tbl>
    <w:p w:rsidR="00F846B8" w:rsidRPr="00B16D02" w:rsidRDefault="00F846B8" w:rsidP="00F846B8"/>
    <w:p w:rsidR="00F846B8" w:rsidRDefault="00F846B8" w:rsidP="00F846B8"/>
    <w:sectPr w:rsidR="00F846B8" w:rsidSect="00F846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B8"/>
    <w:rsid w:val="0016748B"/>
    <w:rsid w:val="008F1526"/>
    <w:rsid w:val="00CE3A27"/>
    <w:rsid w:val="00F8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18B70"/>
  <w15:chartTrackingRefBased/>
  <w15:docId w15:val="{BBF9A7D5-1F17-4FA0-B621-189029C1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6B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846B8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sid w:val="00F846B8"/>
    <w:pPr>
      <w:spacing w:after="120"/>
    </w:pPr>
  </w:style>
  <w:style w:type="paragraph" w:customStyle="1" w:styleId="a1">
    <w:name w:val=" Знак Знак"/>
    <w:basedOn w:val="a"/>
    <w:link w:val="a0"/>
    <w:rsid w:val="00F846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locked/>
    <w:rsid w:val="00F846B8"/>
    <w:rPr>
      <w:rFonts w:eastAsia="Arial Unicode MS"/>
      <w:sz w:val="24"/>
      <w:lang w:val="ru-RU" w:eastAsia="ru-RU" w:bidi="ar-SA"/>
    </w:rPr>
  </w:style>
  <w:style w:type="character" w:customStyle="1" w:styleId="2">
    <w:name w:val="Основной текст (2)_"/>
    <w:link w:val="20"/>
    <w:locked/>
    <w:rsid w:val="00F846B8"/>
    <w:rPr>
      <w:noProof/>
      <w:sz w:val="26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F846B8"/>
    <w:pPr>
      <w:shd w:val="clear" w:color="auto" w:fill="FFFFFF"/>
      <w:spacing w:after="720" w:line="240" w:lineRule="atLeast"/>
    </w:pPr>
    <w:rPr>
      <w:noProof/>
      <w:sz w:val="26"/>
      <w:szCs w:val="20"/>
      <w:shd w:val="clear" w:color="auto" w:fill="FFFFFF"/>
      <w:lang w:val="ru-RU" w:eastAsia="ru-RU"/>
    </w:rPr>
  </w:style>
  <w:style w:type="character" w:customStyle="1" w:styleId="4">
    <w:name w:val="Основной текст (4)_"/>
    <w:link w:val="40"/>
    <w:locked/>
    <w:rsid w:val="00F846B8"/>
    <w:rPr>
      <w:sz w:val="26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F846B8"/>
    <w:pPr>
      <w:widowControl w:val="0"/>
      <w:shd w:val="clear" w:color="auto" w:fill="FFFFFF"/>
      <w:spacing w:before="300" w:line="317" w:lineRule="exact"/>
      <w:ind w:hanging="800"/>
      <w:jc w:val="both"/>
    </w:pPr>
    <w:rPr>
      <w:sz w:val="26"/>
      <w:szCs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Михайлов</cp:lastModifiedBy>
  <cp:revision>3</cp:revision>
  <dcterms:created xsi:type="dcterms:W3CDTF">2024-11-21T06:21:00Z</dcterms:created>
  <dcterms:modified xsi:type="dcterms:W3CDTF">2024-11-21T06:25:00Z</dcterms:modified>
</cp:coreProperties>
</file>