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03" w:rsidRDefault="00440903" w:rsidP="006D7BA0">
      <w:pPr>
        <w:ind w:firstLine="708"/>
        <w:jc w:val="both"/>
        <w:rPr>
          <w:sz w:val="28"/>
          <w:szCs w:val="28"/>
        </w:rPr>
      </w:pPr>
    </w:p>
    <w:p w:rsidR="00D3696C" w:rsidRDefault="00E11759" w:rsidP="00D369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</w:t>
      </w:r>
      <w:r w:rsidR="00D3696C" w:rsidRPr="00D3696C">
        <w:rPr>
          <w:b/>
          <w:sz w:val="28"/>
          <w:szCs w:val="28"/>
        </w:rPr>
        <w:t xml:space="preserve"> типового устава</w:t>
      </w:r>
      <w:r w:rsidR="00D3696C">
        <w:rPr>
          <w:b/>
          <w:sz w:val="28"/>
          <w:szCs w:val="28"/>
        </w:rPr>
        <w:t xml:space="preserve"> для обществ с ограниченной ответственностью</w:t>
      </w:r>
    </w:p>
    <w:p w:rsidR="00D3696C" w:rsidRPr="00D3696C" w:rsidRDefault="00D3696C" w:rsidP="00D3696C">
      <w:pPr>
        <w:ind w:firstLine="708"/>
        <w:jc w:val="center"/>
        <w:rPr>
          <w:b/>
          <w:sz w:val="28"/>
          <w:szCs w:val="28"/>
        </w:rPr>
      </w:pPr>
    </w:p>
    <w:p w:rsidR="006D7BA0" w:rsidRDefault="006D7BA0" w:rsidP="006D7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2</w:t>
      </w:r>
      <w:r w:rsidRPr="007956CD">
        <w:rPr>
          <w:sz w:val="28"/>
          <w:szCs w:val="28"/>
        </w:rPr>
        <w:t xml:space="preserve"> ст. 52 </w:t>
      </w:r>
      <w:r>
        <w:rPr>
          <w:sz w:val="28"/>
          <w:szCs w:val="28"/>
        </w:rPr>
        <w:t>Гражданского кодекса Российской Федерации</w:t>
      </w:r>
      <w:r w:rsidRPr="007956CD">
        <w:rPr>
          <w:sz w:val="28"/>
          <w:szCs w:val="28"/>
        </w:rPr>
        <w:t>, п. 1 ст. 12 Федерального закона от 08.02.1998 № 14-ФЗ «Об обществах с ограниченной ответственностью» общество с ограниченной ответственностью (общество) может действовать на основании утвержденного его учредителями (участниками) устава общества либо типового устава, утвержденного уполномоченным Правительством РФ федеральным органом исполнительной власти.</w:t>
      </w:r>
    </w:p>
    <w:p w:rsidR="006D7BA0" w:rsidRDefault="006D7BA0" w:rsidP="006D7BA0">
      <w:pPr>
        <w:ind w:firstLine="708"/>
        <w:jc w:val="both"/>
        <w:rPr>
          <w:sz w:val="28"/>
          <w:szCs w:val="28"/>
        </w:rPr>
      </w:pPr>
      <w:proofErr w:type="gramStart"/>
      <w:r w:rsidRPr="007956CD">
        <w:rPr>
          <w:sz w:val="28"/>
          <w:szCs w:val="28"/>
        </w:rPr>
        <w:t xml:space="preserve">Сведения о том, что юридическое лицо действует на основании типового устава, утвержденного в соответствии с федеральным законом, включены в состав сведений о юридических лицах, содержащихся в Едином государственном реестре юридических лиц (ЕГРЮЛ) (подпункт «е» пункта 1 статьи 5 </w:t>
      </w:r>
      <w:r>
        <w:rPr>
          <w:sz w:val="28"/>
          <w:szCs w:val="28"/>
        </w:rPr>
        <w:t>Федерального закона</w:t>
      </w:r>
      <w:r w:rsidRPr="007956CD">
        <w:rPr>
          <w:sz w:val="28"/>
          <w:szCs w:val="28"/>
        </w:rPr>
        <w:t xml:space="preserve"> от 08.08.2001 №129-ФЗ «О государственной регистрации юридических лиц и индивидуальных предпринимателей» </w:t>
      </w:r>
      <w:r>
        <w:rPr>
          <w:sz w:val="28"/>
          <w:szCs w:val="28"/>
        </w:rPr>
        <w:t>(далее - Закон</w:t>
      </w:r>
      <w:r w:rsidRPr="007956CD">
        <w:rPr>
          <w:sz w:val="28"/>
          <w:szCs w:val="28"/>
        </w:rPr>
        <w:t xml:space="preserve"> № 129-ФЗ)</w:t>
      </w:r>
      <w:r>
        <w:rPr>
          <w:sz w:val="28"/>
          <w:szCs w:val="28"/>
        </w:rPr>
        <w:t>)</w:t>
      </w:r>
      <w:r w:rsidRPr="007956CD">
        <w:rPr>
          <w:sz w:val="28"/>
          <w:szCs w:val="28"/>
        </w:rPr>
        <w:t>.</w:t>
      </w:r>
      <w:proofErr w:type="gramEnd"/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Приказом Минэкономразвития России от 01.08.2018 № 411 «Об утверждении типовых уставов, на основании которых могут действовать общества с ограниченной ответственностью» утверждено 36 вариантов типовых уставов.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С 25 ноября 2020 года документы для государственной регистрации юридических лиц и индивидуальных предпринимателей представляются в регистрирующий орган по новым формам (утверждены приказом ФНС России от 31.08.2020 № ЕД-7-14/617@), в которых реализована возможность отражения сведений о том, что общество действует на основании типового устава.</w:t>
      </w:r>
    </w:p>
    <w:p w:rsidR="006D7BA0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На основании типового устава могут действовать как вновь созданные, так и уже действующие общества.</w:t>
      </w:r>
    </w:p>
    <w:p w:rsidR="006D7BA0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 xml:space="preserve">Номер выбранного устава необходимо указать в </w:t>
      </w:r>
      <w:r>
        <w:rPr>
          <w:sz w:val="28"/>
          <w:szCs w:val="28"/>
        </w:rPr>
        <w:t>заявлении при формировании комплекта документов для государственной регистрации создаваемого общества или внесения изменений в ЕГРЮЛ в отношении действующего общества (при принятии решения о том, что общество в дальнейшем будет действовать на основании типового устава)</w:t>
      </w:r>
      <w:r w:rsidR="00440903">
        <w:rPr>
          <w:sz w:val="28"/>
          <w:szCs w:val="28"/>
        </w:rPr>
        <w:t>.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956CD">
        <w:rPr>
          <w:sz w:val="28"/>
          <w:szCs w:val="28"/>
        </w:rPr>
        <w:t>На сайте ФНС России размещён сервис «Выбор типового устава», с помощью которого общество может выбрать конкретный вариант типового устава юридического лица. Чтобы сервис автоматически подобрал подходящий устав, достаточно ответить на семь вопросов.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Выбор типового устава общества зависит от следующих условий: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- возможен ли выход участника из общества;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- необходимо ли получать согласие участников ООО на отчуждение доли третьим лицам;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- предусмотрено ли преимущественное право покупки доли;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- разрешено ли отчуждение доли другим участникам без согласия остальных;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lastRenderedPageBreak/>
        <w:t>- возможен ли переход доли к наследникам и правопреемникам участников без согласия остальных;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- избирается ли директор отдельно или каждый участник общества выступает директором по умолчанию;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- удостоверяет ли нотариус решение общего собрания общества и состав участников, присутствовавших при его принятии.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Основные преимущества использования типового устава: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 xml:space="preserve">- экономия времени на составлении и утверждении устава общества, на его оформлении для государственной регистрации; 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- типовой устав в регистрирующий орган не представляется;</w:t>
      </w:r>
    </w:p>
    <w:p w:rsidR="006D7BA0" w:rsidRPr="007956CD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>- при изменении наименования, места нахождения и размера уставного капитала общества изменения в устав не вносятся, так как сведения о наименован</w:t>
      </w:r>
      <w:proofErr w:type="gramStart"/>
      <w:r w:rsidRPr="007956CD">
        <w:rPr>
          <w:sz w:val="28"/>
          <w:szCs w:val="28"/>
        </w:rPr>
        <w:t>ии ООО</w:t>
      </w:r>
      <w:proofErr w:type="gramEnd"/>
      <w:r w:rsidRPr="007956CD">
        <w:rPr>
          <w:sz w:val="28"/>
          <w:szCs w:val="28"/>
        </w:rPr>
        <w:t>, месте нахождения и размере уставного капитала не содержатся в типовом уставе, такие изменения вносятся только в ЕГРЮЛ;</w:t>
      </w:r>
    </w:p>
    <w:p w:rsidR="006D7BA0" w:rsidRDefault="006D7BA0" w:rsidP="006D7BA0">
      <w:pPr>
        <w:ind w:firstLine="708"/>
        <w:jc w:val="both"/>
        <w:rPr>
          <w:sz w:val="28"/>
          <w:szCs w:val="28"/>
        </w:rPr>
      </w:pPr>
      <w:r w:rsidRPr="007956CD">
        <w:rPr>
          <w:sz w:val="28"/>
          <w:szCs w:val="28"/>
        </w:rPr>
        <w:t xml:space="preserve">- при переходе общества со своего собственного устава на </w:t>
      </w:r>
      <w:proofErr w:type="gramStart"/>
      <w:r w:rsidRPr="007956CD">
        <w:rPr>
          <w:sz w:val="28"/>
          <w:szCs w:val="28"/>
        </w:rPr>
        <w:t>типовой</w:t>
      </w:r>
      <w:proofErr w:type="gramEnd"/>
      <w:r w:rsidRPr="007956CD">
        <w:rPr>
          <w:sz w:val="28"/>
          <w:szCs w:val="28"/>
        </w:rPr>
        <w:t xml:space="preserve"> государственная пошлина не уплачивается.</w:t>
      </w:r>
    </w:p>
    <w:p w:rsidR="00BB6B71" w:rsidRDefault="00BB6B71"/>
    <w:sectPr w:rsidR="00BB6B71" w:rsidSect="00440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0"/>
    <w:rsid w:val="00440903"/>
    <w:rsid w:val="006D7BA0"/>
    <w:rsid w:val="00BB6B71"/>
    <w:rsid w:val="00D3696C"/>
    <w:rsid w:val="00E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Прислонова Ирина Анатольевна</dc:creator>
  <cp:lastModifiedBy>Шпакович Елена Валерьевна</cp:lastModifiedBy>
  <cp:revision>2</cp:revision>
  <dcterms:created xsi:type="dcterms:W3CDTF">2021-07-22T09:59:00Z</dcterms:created>
  <dcterms:modified xsi:type="dcterms:W3CDTF">2021-07-22T09:59:00Z</dcterms:modified>
</cp:coreProperties>
</file>