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18" w:rsidRDefault="005F3849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Утвержден</w:t>
      </w:r>
    </w:p>
    <w:p w:rsidR="00644418" w:rsidRDefault="005F3849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постановлением администрации</w:t>
      </w:r>
    </w:p>
    <w:p w:rsidR="00644418" w:rsidRDefault="005F3849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644418" w:rsidRDefault="005F3849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от </w:t>
      </w:r>
      <w:r>
        <w:rPr>
          <w:rFonts w:ascii="Liberation Serif" w:hAnsi="Liberation Serif" w:cs="Liberation Serif"/>
          <w:sz w:val="24"/>
          <w:szCs w:val="24"/>
        </w:rPr>
        <w:t>24</w:t>
      </w:r>
      <w:r>
        <w:rPr>
          <w:rFonts w:ascii="Liberation Serif" w:hAnsi="Liberation Serif" w:cs="Liberation Serif"/>
          <w:sz w:val="24"/>
          <w:szCs w:val="24"/>
        </w:rPr>
        <w:t xml:space="preserve"> марта 2022 г. N_</w:t>
      </w:r>
      <w:r>
        <w:rPr>
          <w:rFonts w:ascii="Liberation Serif" w:hAnsi="Liberation Serif" w:cs="Liberation Serif"/>
          <w:sz w:val="24"/>
          <w:szCs w:val="24"/>
        </w:rPr>
        <w:t>133</w:t>
      </w:r>
    </w:p>
    <w:p w:rsidR="00644418" w:rsidRDefault="00644418">
      <w:pPr>
        <w:pStyle w:val="ConsPlusNormal"/>
        <w:ind w:left="4536"/>
        <w:jc w:val="both"/>
      </w:pPr>
    </w:p>
    <w:p w:rsidR="00644418" w:rsidRDefault="005F38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7"/>
      <w:bookmarkEnd w:id="1"/>
      <w:r>
        <w:rPr>
          <w:rFonts w:ascii="Liberation Serif" w:hAnsi="Liberation Serif" w:cs="Liberation Serif"/>
          <w:sz w:val="28"/>
          <w:szCs w:val="28"/>
        </w:rPr>
        <w:t>Порядок</w:t>
      </w:r>
    </w:p>
    <w:p w:rsidR="00644418" w:rsidRDefault="005F38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оплаты расходов по незаселенным жилым помещениям</w:t>
      </w:r>
    </w:p>
    <w:p w:rsidR="00644418" w:rsidRDefault="005F38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жилищного фонда городског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644418" w:rsidRDefault="006444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оплаты расходов по незаселенным жилым помещениям муниципального жилищного фонда городского округа ЗАТО Свободный (далее - Порядок) разработан в соответствии с </w:t>
      </w:r>
      <w:hyperlink r:id="rId6">
        <w:r>
          <w:rPr>
            <w:rFonts w:ascii="Liberation Serif" w:hAnsi="Liberation Serif" w:cs="Liberation Serif"/>
            <w:sz w:val="28"/>
            <w:szCs w:val="28"/>
          </w:rPr>
          <w:t>частью 3 статьи 153</w:t>
        </w:r>
      </w:hyperlink>
      <w:r>
        <w:rPr>
          <w:rFonts w:ascii="Liberation Serif" w:hAnsi="Liberation Serif" w:cs="Liberation Serif"/>
          <w:sz w:val="28"/>
          <w:szCs w:val="28"/>
        </w:rPr>
        <w:t>, частью 2 статьи 154 Жилищного кодекса Российской Федерации и устанавливает единый подход к оплате расходов по незаселенным жилым поме</w:t>
      </w:r>
      <w:r>
        <w:rPr>
          <w:rFonts w:ascii="Liberation Serif" w:hAnsi="Liberation Serif" w:cs="Liberation Serif"/>
          <w:sz w:val="28"/>
          <w:szCs w:val="28"/>
        </w:rPr>
        <w:t>щениям муниципального жилищного фонда городского округа ЗАТО Свободный.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(далее - Администрация) является главным распорядителем средств, выделяемых из бюджета городского округа ЗАТО Свободный на оплату </w:t>
      </w:r>
      <w:r>
        <w:rPr>
          <w:rFonts w:ascii="Liberation Serif" w:hAnsi="Liberation Serif" w:cs="Liberation Serif"/>
          <w:sz w:val="28"/>
          <w:szCs w:val="28"/>
        </w:rPr>
        <w:t>расходов по незаселенным жилым помещениям муниципального жилищного фонда городского округа ЗАТО Свободный.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9"/>
      <w:bookmarkEnd w:id="2"/>
      <w:r>
        <w:rPr>
          <w:rFonts w:ascii="Liberation Serif" w:hAnsi="Liberation Serif" w:cs="Liberation Serif"/>
          <w:sz w:val="28"/>
          <w:szCs w:val="28"/>
        </w:rPr>
        <w:t xml:space="preserve">2. Для целей настоящего Порядка под Получателями средств понимаются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организации, управляющие организации, обслуживающие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(при непосредственном управлении) и товарищества собственников жилья, а также исполнители коммунальных услуг.</w:t>
      </w:r>
    </w:p>
    <w:p w:rsidR="00644418" w:rsidRDefault="005F3849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 расходами по незаселенным жилым помещениям муниципального жилищного фонда городского округа ЗАТО Свободный понимаются расходы  на оплату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многоквартирном доме), на оплату коммунальных услуг. 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производит оплату расходов по незаселенным жилым помещениям муниципального жилищного фонда городского округа ЗАТО Свободный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ресурсоснабжающим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организациям, управляющим организациям, обс</w:t>
      </w:r>
      <w:r>
        <w:rPr>
          <w:rFonts w:ascii="Liberation Serif" w:hAnsi="Liberation Serif" w:cs="Liberation Serif"/>
          <w:sz w:val="28"/>
          <w:szCs w:val="28"/>
        </w:rPr>
        <w:t>луживающим организациям (при непосредственном управлении) и товариществам собственников жилья (далее - Получатели средств), осуществляющим управление и обслуживание многоквартирными домами, в которых имеются незаселенные жилые муниципальные помещения, прин</w:t>
      </w:r>
      <w:r>
        <w:rPr>
          <w:rFonts w:ascii="Liberation Serif" w:hAnsi="Liberation Serif" w:cs="Liberation Serif"/>
          <w:sz w:val="28"/>
          <w:szCs w:val="28"/>
        </w:rPr>
        <w:t xml:space="preserve">адлежащие муниципальному образованию, в пределах ассигнований, предусмотренных в бюджете городского округа ЗАТО Свободный на текущий </w:t>
      </w:r>
      <w:r>
        <w:rPr>
          <w:rFonts w:ascii="Liberation Serif" w:hAnsi="Liberation Serif" w:cs="Liberation Serif"/>
          <w:sz w:val="28"/>
          <w:szCs w:val="28"/>
        </w:rPr>
        <w:lastRenderedPageBreak/>
        <w:t>финансовый год.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производит оплату расходов по коммунальным услугам (отопление) незаселенных жилых муниципальн</w:t>
      </w:r>
      <w:r>
        <w:rPr>
          <w:rFonts w:ascii="Liberation Serif" w:hAnsi="Liberation Serif" w:cs="Liberation Serif"/>
          <w:sz w:val="28"/>
          <w:szCs w:val="28"/>
        </w:rPr>
        <w:t>ых помещений исполнителям коммунальных услуг (далее - Получатели средств), исходя из объема потребления коммунальных услуг, определяемого по приборам учета, а при их отсутствии исходя из нормативов коммунальных услуг для населения и тарифов на тепловую эне</w:t>
      </w:r>
      <w:r>
        <w:rPr>
          <w:rFonts w:ascii="Liberation Serif" w:hAnsi="Liberation Serif" w:cs="Liberation Serif"/>
          <w:sz w:val="28"/>
          <w:szCs w:val="28"/>
        </w:rPr>
        <w:t>ргию, утвержденных в соответствии с действующим законодательством. В случае проведения перерасчета по отоплению в соответствии с действующим законодательством производится корректировка оплаты.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Оплата расходов по незаселенным жилым помещениям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ЗАТО Свободный осуществляется после заключения договора между Администрацией и Получателем средств (</w:t>
      </w:r>
      <w:hyperlink w:anchor="P86">
        <w:r>
          <w:rPr>
            <w:rFonts w:ascii="Liberation Serif" w:hAnsi="Liberation Serif" w:cs="Liberation Serif"/>
            <w:sz w:val="28"/>
            <w:szCs w:val="28"/>
          </w:rPr>
          <w:t>Приложение №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Порядку).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57"/>
      <w:bookmarkEnd w:id="3"/>
      <w:r>
        <w:rPr>
          <w:rFonts w:ascii="Liberation Serif" w:hAnsi="Liberation Serif" w:cs="Liberation Serif"/>
          <w:sz w:val="28"/>
          <w:szCs w:val="28"/>
        </w:rPr>
        <w:t xml:space="preserve">4. Организации, указанные в </w:t>
      </w:r>
      <w:hyperlink w:anchor="P49">
        <w:r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ежемесячно д</w:t>
      </w:r>
      <w:r>
        <w:rPr>
          <w:rFonts w:ascii="Liberation Serif" w:hAnsi="Liberation Serif" w:cs="Liberation Serif"/>
          <w:sz w:val="28"/>
          <w:szCs w:val="28"/>
        </w:rPr>
        <w:t xml:space="preserve">о 5 числа месяца, следующего за отчетным, представляют ведущему специалисту по жилью подразделения социально-экономического развития Администрации сведения о фактически свободных жилых помещениях для проведения сверки. 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Организации, указанные в </w:t>
      </w:r>
      <w:hyperlink w:anchor="P49">
        <w:r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ежемесячно до 10 числа месяца, следующего за отчетным, представляют в Администрацию расчет оплаты расходов на муниципальный жилищный фонд исходя из общей площади отдельно по каждому жилому помещению в разрезе </w:t>
      </w:r>
      <w:r>
        <w:rPr>
          <w:rFonts w:ascii="Liberation Serif" w:hAnsi="Liberation Serif" w:cs="Liberation Serif"/>
          <w:sz w:val="28"/>
          <w:szCs w:val="28"/>
        </w:rPr>
        <w:t xml:space="preserve">услуг по установленной </w:t>
      </w:r>
      <w:hyperlink w:anchor="P155">
        <w:r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(Приложение N 2 к Порядку).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Оплата расходов на содержание незаселенных жилых помещений осуществляется исходя из фактически сложившихся затрат, но не выше платы за содержание и ремонт жилого помещен</w:t>
      </w:r>
      <w:r>
        <w:rPr>
          <w:rFonts w:ascii="Liberation Serif" w:hAnsi="Liberation Serif" w:cs="Liberation Serif"/>
          <w:sz w:val="28"/>
          <w:szCs w:val="28"/>
        </w:rPr>
        <w:t xml:space="preserve">ия, установленной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для нанимателей жилых помещений, в случае, если решением общего собрания собственников помещений многоквартирного дома не установлены иные тарифы на содержание. В случае устано</w:t>
      </w:r>
      <w:r>
        <w:rPr>
          <w:rFonts w:ascii="Liberation Serif" w:hAnsi="Liberation Serif" w:cs="Liberation Serif"/>
          <w:sz w:val="28"/>
          <w:szCs w:val="28"/>
        </w:rPr>
        <w:t xml:space="preserve">вления общим собранием собственников помещений многоквартирного дома иных размеров тарифов на содержание, оплата расходов на содержание незаселенных жилых помещений, осуществляется исходя из тарифов, установленных на общем собрании собственников помещений </w:t>
      </w:r>
      <w:r>
        <w:rPr>
          <w:rFonts w:ascii="Liberation Serif" w:hAnsi="Liberation Serif" w:cs="Liberation Serif"/>
          <w:sz w:val="28"/>
          <w:szCs w:val="28"/>
        </w:rPr>
        <w:t>многоквартирного дома.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Оплата коммунальных услуг (отопление) незаселенных жилых помещений осуществляется исходя из объема потребления коммунальных услуг, определяемого по приборам учета, а при их отсутствии исходя из нормативов коммунальных услуг для на</w:t>
      </w:r>
      <w:r>
        <w:rPr>
          <w:rFonts w:ascii="Liberation Serif" w:hAnsi="Liberation Serif" w:cs="Liberation Serif"/>
          <w:sz w:val="28"/>
          <w:szCs w:val="28"/>
        </w:rPr>
        <w:t>селения и тарифов на тепловую энергию, утвержденных в соответствии с действующим законодательством. В случае проведения перерасчета по отоплению в соответствии с действующим законодательством производится корректировка оплаты.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Начальной датой расчета оп</w:t>
      </w:r>
      <w:r>
        <w:rPr>
          <w:rFonts w:ascii="Liberation Serif" w:hAnsi="Liberation Serif" w:cs="Liberation Serif"/>
          <w:sz w:val="28"/>
          <w:szCs w:val="28"/>
        </w:rPr>
        <w:t xml:space="preserve">латы расходов по незаселенным жилым помещениям городского округа ЗАТО Свободный, подлежащих возмещению в соответствии с настоящим Порядком, следующий день с даты закрытия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лицевого счета нанимателем жилого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помещения  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осуществляется до момента жилого помещ</w:t>
      </w:r>
      <w:r>
        <w:rPr>
          <w:rFonts w:ascii="Liberation Serif" w:hAnsi="Liberation Serif" w:cs="Liberation Serif"/>
          <w:sz w:val="28"/>
          <w:szCs w:val="28"/>
        </w:rPr>
        <w:t>ения по договорам найма или в собственность.</w:t>
      </w: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Администрация при получении указанных в </w:t>
      </w:r>
      <w:hyperlink w:anchor="P57">
        <w:r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 w:cs="Liberation Serif"/>
          <w:sz w:val="28"/>
          <w:szCs w:val="28"/>
        </w:rPr>
        <w:t>5 настоящего Порядка документов в течение пяти рабочих дней проводит проверку представленных документов. В случае выявления недостатков</w:t>
      </w:r>
      <w:r>
        <w:rPr>
          <w:rFonts w:ascii="Liberation Serif" w:hAnsi="Liberation Serif" w:cs="Liberation Serif"/>
          <w:sz w:val="28"/>
          <w:szCs w:val="28"/>
        </w:rPr>
        <w:t xml:space="preserve"> возвращает документы Получателям средств, сообщив причины возврата документов.</w:t>
      </w:r>
    </w:p>
    <w:p w:rsidR="00644418" w:rsidRDefault="005F384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В случае отсутствия претензий по представляемым документам Администрация осуществляет оплату расходов на муниципальный жилищный фонд в сроки и порядке, предусмотренные дого</w:t>
      </w:r>
      <w:r>
        <w:rPr>
          <w:rFonts w:ascii="Liberation Serif" w:hAnsi="Liberation Serif" w:cs="Liberation Serif"/>
          <w:sz w:val="28"/>
          <w:szCs w:val="28"/>
        </w:rPr>
        <w:t xml:space="preserve">вором на оплату расходов по незаселенным жилым помещениям муниципального жилищного фонда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644418" w:rsidRDefault="006444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both"/>
      </w:pPr>
    </w:p>
    <w:p w:rsidR="00644418" w:rsidRDefault="00644418">
      <w:pPr>
        <w:pStyle w:val="ConsPlusNormal"/>
        <w:jc w:val="both"/>
      </w:pPr>
    </w:p>
    <w:p w:rsidR="00644418" w:rsidRDefault="00644418">
      <w:pPr>
        <w:pStyle w:val="ConsPlusNormal"/>
        <w:jc w:val="both"/>
      </w:pPr>
    </w:p>
    <w:p w:rsidR="00644418" w:rsidRDefault="00644418">
      <w:pPr>
        <w:pStyle w:val="ConsPlusNormal"/>
        <w:jc w:val="both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44418" w:rsidRDefault="005F3849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N 1</w:t>
      </w:r>
    </w:p>
    <w:p w:rsidR="00644418" w:rsidRDefault="005F3849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оплаты расходов по незаселенным жилым помещениям жилищного фонда </w:t>
      </w: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44418" w:rsidRDefault="005F384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86"/>
      <w:bookmarkEnd w:id="4"/>
      <w:r>
        <w:rPr>
          <w:rFonts w:ascii="Liberation Serif" w:hAnsi="Liberation Serif" w:cs="Liberation Serif"/>
          <w:sz w:val="28"/>
          <w:szCs w:val="28"/>
        </w:rPr>
        <w:t>ТИПОВОЙ ДОГОВОР</w:t>
      </w:r>
    </w:p>
    <w:p w:rsidR="00644418" w:rsidRDefault="005F384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ОПЛАТУ РАСХОДОВ ПО НЕЗАСЕЛЕННЫМ ЖИЛЫМ ПОМЕЩЕНИЯМ МУНИЦИПАЛЬНОГО ЖИЛИЩНОГО ФОНДА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644418" w:rsidRDefault="0064441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644418" w:rsidRDefault="005F3849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>
        <w:rPr>
          <w:rFonts w:ascii="Liberation Serif" w:hAnsi="Liberation Serif" w:cs="Liberation Serif"/>
          <w:sz w:val="26"/>
          <w:szCs w:val="26"/>
        </w:rPr>
        <w:t>. Свободный                                    "___" ___________ 20__ года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Свободный, именуемая в дальнейшем "Администрация", в лице главы городского округа ЗАТО Свободный Иванова Александра Владимировича, действующего на основании Устава, с одной стороны, и (управляющая, обслуживающая организ</w:t>
      </w:r>
      <w:r>
        <w:rPr>
          <w:rFonts w:ascii="Liberation Serif" w:hAnsi="Liberation Serif" w:cs="Liberation Serif"/>
          <w:sz w:val="26"/>
          <w:szCs w:val="26"/>
        </w:rPr>
        <w:t>ация, ТСЖ) в лице ______________________________________, действующего на основании _____________, именуемая(</w:t>
      </w:r>
      <w:proofErr w:type="spellStart"/>
      <w:r>
        <w:rPr>
          <w:rFonts w:ascii="Liberation Serif" w:hAnsi="Liberation Serif" w:cs="Liberation Serif"/>
          <w:sz w:val="26"/>
          <w:szCs w:val="26"/>
        </w:rPr>
        <w:t>ое</w:t>
      </w:r>
      <w:proofErr w:type="spellEnd"/>
      <w:r>
        <w:rPr>
          <w:rFonts w:ascii="Liberation Serif" w:hAnsi="Liberation Serif" w:cs="Liberation Serif"/>
          <w:sz w:val="26"/>
          <w:szCs w:val="26"/>
        </w:rPr>
        <w:t>) в дальнейшем "Организация", с другой стороны, совместно именуемые "Стороны", заключили настоящий Договор о нижеследующем.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ПРЕДМЕТ ДОГОВОРА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1.1. Настоящий Договор определяет порядок оплаты расходов по незаселенным жилым помещениям муниципального жилищного фонда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в многоквартирных домах, управление которыми осуществляется Организацией (далее - оплата расходов).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Расчет средств на оплату расходов на содержание и ремонт незаселенных жилых помещений, включающих в себя плату за услуги и работы по содержанию и ремонту общего имущества в многоквартирном доме, производится исходя из общей площади жилых помещений и п</w:t>
      </w:r>
      <w:r>
        <w:rPr>
          <w:rFonts w:ascii="Liberation Serif" w:hAnsi="Liberation Serif" w:cs="Liberation Serif"/>
          <w:sz w:val="26"/>
          <w:szCs w:val="26"/>
        </w:rPr>
        <w:t xml:space="preserve">латы за содержание и ремонт жилого помещения, установленной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для нанимателей жилых помещений.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Расчет средств на оплату расходов на коммунальные услуги производится в порядке, предусмотренном </w:t>
      </w:r>
      <w:hyperlink r:id="rId7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предоставления коммунальных услуг гражданам, утвержденными Постановлением Правительс</w:t>
      </w:r>
      <w:r>
        <w:rPr>
          <w:rFonts w:ascii="Liberation Serif" w:hAnsi="Liberation Serif" w:cs="Liberation Serif"/>
          <w:sz w:val="26"/>
          <w:szCs w:val="26"/>
        </w:rPr>
        <w:t>тва РФ от 06.05.2011 N 354 "О предоставлении коммунальных услуг собственникам и пользователям помещений в многоквартирных домах и жилых домов", с учетом общей площади незаселенных жилых помещений.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1.3. Оплата расходов по настоящему Договору предоставляется</w:t>
      </w:r>
      <w:r>
        <w:rPr>
          <w:rFonts w:ascii="Liberation Serif" w:hAnsi="Liberation Serif" w:cs="Liberation Serif"/>
          <w:sz w:val="26"/>
          <w:szCs w:val="26"/>
        </w:rPr>
        <w:t xml:space="preserve"> в пределах ассигнований, предусмотренных в бюджете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на финансовый год.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 ОБЯЗАННОСТИ СТОРОН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 Организация обязана: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5" w:name="P103"/>
      <w:bookmarkEnd w:id="5"/>
      <w:r>
        <w:rPr>
          <w:rFonts w:ascii="Liberation Serif" w:hAnsi="Liberation Serif" w:cs="Liberation Serif"/>
          <w:sz w:val="26"/>
          <w:szCs w:val="26"/>
        </w:rPr>
        <w:t xml:space="preserve">2.1.1. В срок до десятого числа месяца, следующего за отчетным месяцем,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представить  в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отдел бухгалт</w:t>
      </w:r>
      <w:r>
        <w:rPr>
          <w:rFonts w:ascii="Liberation Serif" w:hAnsi="Liberation Serif" w:cs="Liberation Serif"/>
          <w:sz w:val="26"/>
          <w:szCs w:val="26"/>
        </w:rPr>
        <w:t>ерского учета и финансов Администрации следующие расчеты: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расчет средств на оплату расходов за содержание и ремонт незаселенных жилых помещений исходя из общей площади жилых помещений и платы за содержание и ремонт жилого помещения, установленной постано</w:t>
      </w:r>
      <w:r>
        <w:rPr>
          <w:rFonts w:ascii="Liberation Serif" w:hAnsi="Liberation Serif" w:cs="Liberation Serif"/>
          <w:sz w:val="26"/>
          <w:szCs w:val="26"/>
        </w:rPr>
        <w:t xml:space="preserve">влением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для нанимателей жилых помещений;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расчет средств на оплату расходов на отопление (либо иные коммунальные услуги при их использовании) незаселенных жилых помещений, производящийся в порядке, предусмотр</w:t>
      </w:r>
      <w:r>
        <w:rPr>
          <w:rFonts w:ascii="Liberation Serif" w:hAnsi="Liberation Serif" w:cs="Liberation Serif"/>
          <w:sz w:val="26"/>
          <w:szCs w:val="26"/>
        </w:rPr>
        <w:t xml:space="preserve">енном </w:t>
      </w:r>
      <w:hyperlink r:id="rId8">
        <w:r>
          <w:rPr>
            <w:rFonts w:ascii="Liberation Serif" w:hAnsi="Liberation Serif" w:cs="Liberation Serif"/>
            <w:color w:val="0000F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предоставления коммунальных услуг гражданам, утвержденными Постановление П</w:t>
      </w:r>
      <w:r>
        <w:rPr>
          <w:rFonts w:ascii="Liberation Serif" w:hAnsi="Liberation Serif" w:cs="Liberation Serif"/>
          <w:sz w:val="26"/>
          <w:szCs w:val="26"/>
        </w:rPr>
        <w:t>равительства РФ от 06.05.2011 N 354 "О предоставлении коммунальных услуг собственникам и пользователям помещений в многоквартирных домах и жилых домов", с учетом общей площади незаселенных жилых помещений.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 "Заказчик" обязан: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2.2.1. Осуществить перечисление на расчетный счет Организации возмещение расходов в соответствии с </w:t>
      </w:r>
      <w:hyperlink w:anchor="P113">
        <w:r>
          <w:rPr>
            <w:rFonts w:ascii="Liberation Serif" w:hAnsi="Liberation Serif" w:cs="Liberation Serif"/>
            <w:color w:val="0000FF"/>
            <w:sz w:val="26"/>
            <w:szCs w:val="26"/>
          </w:rPr>
          <w:t>разделом 3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Договора.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 Заказчик осуществляет перечисление расходов: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после проверки и согласования расчетов, указан</w:t>
      </w:r>
      <w:r>
        <w:rPr>
          <w:rFonts w:ascii="Liberation Serif" w:hAnsi="Liberation Serif" w:cs="Liberation Serif"/>
          <w:sz w:val="26"/>
          <w:szCs w:val="26"/>
        </w:rPr>
        <w:t xml:space="preserve">ных в </w:t>
      </w:r>
      <w:hyperlink w:anchor="P103">
        <w:r>
          <w:rPr>
            <w:rFonts w:ascii="Liberation Serif" w:hAnsi="Liberation Serif" w:cs="Liberation Serif"/>
            <w:color w:val="0000FF"/>
            <w:sz w:val="26"/>
            <w:szCs w:val="26"/>
          </w:rPr>
          <w:t>пункте 2.1.1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Договора, отделом бухгалтерского учета и финансов Администрации.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bookmarkStart w:id="6" w:name="P113"/>
      <w:bookmarkEnd w:id="6"/>
      <w:r>
        <w:rPr>
          <w:rFonts w:ascii="Liberation Serif" w:hAnsi="Liberation Serif" w:cs="Liberation Serif"/>
          <w:sz w:val="26"/>
          <w:szCs w:val="26"/>
        </w:rPr>
        <w:t>3. ПОРЯДОК РАСЧЕТОВ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3.1. Перечисление средств на оплату расходов на муниципальный жилищный фонд производится в течение 10 банковских</w:t>
      </w:r>
      <w:r>
        <w:rPr>
          <w:rFonts w:ascii="Liberation Serif" w:hAnsi="Liberation Serif" w:cs="Liberation Serif"/>
          <w:sz w:val="26"/>
          <w:szCs w:val="26"/>
        </w:rPr>
        <w:t xml:space="preserve"> дней после проверки и согласования расчетов, указанных в </w:t>
      </w:r>
      <w:hyperlink w:anchor="P103">
        <w:r>
          <w:rPr>
            <w:rFonts w:ascii="Liberation Serif" w:hAnsi="Liberation Serif" w:cs="Liberation Serif"/>
            <w:color w:val="0000FF"/>
            <w:sz w:val="26"/>
            <w:szCs w:val="26"/>
          </w:rPr>
          <w:t>пункте 2.1.1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Договора.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3.2. В случае нарушения Организацией </w:t>
      </w:r>
      <w:hyperlink w:anchor="P103">
        <w:r>
          <w:rPr>
            <w:rFonts w:ascii="Liberation Serif" w:hAnsi="Liberation Serif" w:cs="Liberation Serif"/>
            <w:color w:val="0000FF"/>
            <w:sz w:val="26"/>
            <w:szCs w:val="26"/>
          </w:rPr>
          <w:t>пункта 2.1.1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Договора предоставление средств на возмещение рас</w:t>
      </w:r>
      <w:r>
        <w:rPr>
          <w:rFonts w:ascii="Liberation Serif" w:hAnsi="Liberation Serif" w:cs="Liberation Serif"/>
          <w:sz w:val="26"/>
          <w:szCs w:val="26"/>
        </w:rPr>
        <w:t>ходов приостанавливается до представления Организацией расчетов и реестра, согласованных отделом бухгалтерского учета и финансов Администрации.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644418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ОТВЕТСТВЕННОСТЬ СТОРОН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4.1. В случае неисполнения или ненадлежащего исполнения обязательств по настоящему </w:t>
      </w:r>
      <w:r>
        <w:rPr>
          <w:rFonts w:ascii="Liberation Serif" w:hAnsi="Liberation Serif" w:cs="Liberation Serif"/>
          <w:sz w:val="26"/>
          <w:szCs w:val="26"/>
        </w:rPr>
        <w:t>Договору Стороны несут ответственность в соответствии с законодательством Российской Федерации.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4.2. В случае представления сведений, повлекших за собой завышение размера средств на возмещение расходов, полученных из городского бюджета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</w:t>
      </w:r>
      <w:r>
        <w:rPr>
          <w:rFonts w:ascii="Liberation Serif" w:hAnsi="Liberation Serif" w:cs="Liberation Serif"/>
          <w:sz w:val="26"/>
          <w:szCs w:val="26"/>
        </w:rPr>
        <w:t>ТО Свободный по настоящему Договору, Организация несет ответственность в соответствии с законодательством Российской Федерации.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СРОКИ ДЕЙСТВИЯ ДОГОВОРА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5.1. Настоящий Договор вступает в силу с момента подписания его Сторонами и действует до __________</w:t>
      </w:r>
      <w:r>
        <w:rPr>
          <w:rFonts w:ascii="Liberation Serif" w:hAnsi="Liberation Serif" w:cs="Liberation Serif"/>
          <w:sz w:val="26"/>
          <w:szCs w:val="26"/>
        </w:rPr>
        <w:t>___.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5.2. Настоящий Договор может быть расторгнут по инициативе любой из Сторон с письменным уведомлением другой стороны не менее чем за 30 дней до момента расторжения.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 ПОРЯДОК РАЗРЕШЕНИЯ СПОРОВ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6.1. Все споры или разногласия, возникшие между Сторонам</w:t>
      </w:r>
      <w:r>
        <w:rPr>
          <w:rFonts w:ascii="Liberation Serif" w:hAnsi="Liberation Serif" w:cs="Liberation Serif"/>
          <w:sz w:val="26"/>
          <w:szCs w:val="26"/>
        </w:rPr>
        <w:t>и по настоящему Договору, разрешаются путем переговоров между ними.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6.2. В случае невозможности разрешения споров или разногласий путем переговоров они подлежат рассмотрению в суде в установленном законодательством Российской Федерации порядке.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7. </w:t>
      </w:r>
      <w:r>
        <w:rPr>
          <w:rFonts w:ascii="Liberation Serif" w:hAnsi="Liberation Serif" w:cs="Liberation Serif"/>
          <w:sz w:val="26"/>
          <w:szCs w:val="26"/>
        </w:rPr>
        <w:t>ЗАКЛЮЧИТЕЛЬНЫЕ ПОЛОЖЕНИЯ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7.1. Взаимоотношения сторон, не урегулированные настоящим Договором, регулируются законодательством Российской Федерации.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7.2. Изменения и дополнения в настоящий Договор могут быть внесены путем составления дополнительного </w:t>
      </w:r>
      <w:r>
        <w:rPr>
          <w:rFonts w:ascii="Liberation Serif" w:hAnsi="Liberation Serif" w:cs="Liberation Serif"/>
          <w:sz w:val="26"/>
          <w:szCs w:val="26"/>
        </w:rPr>
        <w:t>соглашения, подписанного всеми Сторонами.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7.3. Любое уведомление по настоящему Договору отправляется получателю в письменном виде или факсом.</w:t>
      </w:r>
    </w:p>
    <w:p w:rsidR="00644418" w:rsidRDefault="005F38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7.4. Настоящий Договор составлен в двух экземплярах, один - для Заказчика, второй - для Организации. Все экземпляр</w:t>
      </w:r>
      <w:r>
        <w:rPr>
          <w:rFonts w:ascii="Liberation Serif" w:hAnsi="Liberation Serif" w:cs="Liberation Serif"/>
          <w:sz w:val="26"/>
          <w:szCs w:val="26"/>
        </w:rPr>
        <w:t>ы имеют одинаковую юридическую силу.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rmal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8. ЮРИДИЧЕСКИЕ АДРЕСА И БАНКОВСКИЕ РЕКВИЗИТЫ СТОРОН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44418" w:rsidRDefault="005F3849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Заказчик                                                                          Организация</w:t>
      </w:r>
    </w:p>
    <w:p w:rsidR="00644418" w:rsidRDefault="0064441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44418" w:rsidRDefault="00644418">
      <w:pPr>
        <w:pStyle w:val="ConsPlusNormal"/>
        <w:jc w:val="both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</w:pPr>
    </w:p>
    <w:p w:rsidR="00644418" w:rsidRDefault="00644418">
      <w:pPr>
        <w:pStyle w:val="ConsPlusNormal"/>
        <w:jc w:val="right"/>
        <w:outlineLvl w:val="1"/>
        <w:sectPr w:rsidR="00644418">
          <w:headerReference w:type="default" r:id="rId9"/>
          <w:pgSz w:w="11906" w:h="16838"/>
          <w:pgMar w:top="1134" w:right="850" w:bottom="1134" w:left="1701" w:header="708" w:footer="0" w:gutter="0"/>
          <w:pgNumType w:start="2"/>
          <w:cols w:space="720"/>
          <w:formProt w:val="0"/>
          <w:docGrid w:linePitch="360"/>
        </w:sectPr>
      </w:pPr>
    </w:p>
    <w:tbl>
      <w:tblPr>
        <w:tblpPr w:leftFromText="180" w:rightFromText="180" w:vertAnchor="page" w:horzAnchor="margin" w:tblpY="3718"/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709"/>
        <w:gridCol w:w="701"/>
        <w:gridCol w:w="1260"/>
        <w:gridCol w:w="903"/>
        <w:gridCol w:w="1049"/>
        <w:gridCol w:w="1575"/>
        <w:gridCol w:w="1182"/>
        <w:gridCol w:w="1574"/>
        <w:gridCol w:w="1252"/>
        <w:gridCol w:w="1135"/>
        <w:gridCol w:w="1701"/>
        <w:gridCol w:w="1639"/>
      </w:tblGrid>
      <w:tr w:rsidR="00644418">
        <w:trPr>
          <w:trHeight w:val="84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Адрес незаселенного жилого помещения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Дата принятия дома в управление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bookmarkStart w:id="7" w:name="P162"/>
            <w:bookmarkEnd w:id="7"/>
            <w:r>
              <w:rPr>
                <w:sz w:val="20"/>
              </w:rPr>
              <w:t>Общая площадь жилого помещения (кв. м)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bookmarkStart w:id="8" w:name="P163"/>
            <w:bookmarkEnd w:id="8"/>
            <w:r>
              <w:rPr>
                <w:sz w:val="20"/>
              </w:rPr>
              <w:t>Отапливаемая площадь жилого помещения (кв. м)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bookmarkStart w:id="9" w:name="P164"/>
            <w:bookmarkEnd w:id="9"/>
            <w:r>
              <w:rPr>
                <w:sz w:val="20"/>
              </w:rPr>
              <w:t xml:space="preserve">Период, в течение которого помещение не заселено после </w:t>
            </w:r>
            <w:r>
              <w:rPr>
                <w:sz w:val="20"/>
              </w:rPr>
              <w:t>принятия в управление (количество месяцев, дней)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Дата и основание передачи муниципального жилого помещения гражданам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 расходов на отопление (руб.)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Сумма расходов на содержание и ремонт (руб.)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 xml:space="preserve">Всего сумма расходов, </w:t>
            </w:r>
            <w:hyperlink w:anchor="P172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74">
              <w:r>
                <w:rPr>
                  <w:color w:val="0000FF"/>
                </w:rPr>
                <w:t>гр. 12</w:t>
              </w:r>
            </w:hyperlink>
            <w:r>
              <w:t xml:space="preserve"> (руб.)</w:t>
            </w:r>
          </w:p>
        </w:tc>
      </w:tr>
      <w:tr w:rsidR="00644418">
        <w:trPr>
          <w:trHeight w:val="14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644418">
            <w:pPr>
              <w:widowControl w:val="0"/>
              <w:spacing w:after="1" w:line="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 дома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N квартиры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644418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644418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644418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644418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644418">
            <w:pPr>
              <w:widowControl w:val="0"/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Ставка платы для населения (норматив потребления x стоимость Гкал)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bookmarkStart w:id="10" w:name="P172"/>
            <w:bookmarkEnd w:id="10"/>
            <w:r>
              <w:rPr>
                <w:sz w:val="20"/>
              </w:rPr>
              <w:t xml:space="preserve">Сумма расходов (руб.), </w:t>
            </w:r>
            <w:hyperlink w:anchor="P163">
              <w:r>
                <w:rPr>
                  <w:color w:val="0000FF"/>
                  <w:sz w:val="20"/>
                </w:rPr>
                <w:t>гр. 6</w:t>
              </w:r>
            </w:hyperlink>
            <w:r>
              <w:rPr>
                <w:sz w:val="20"/>
              </w:rPr>
              <w:t xml:space="preserve"> x </w:t>
            </w:r>
            <w:hyperlink w:anchor="P164">
              <w:r>
                <w:rPr>
                  <w:color w:val="0000FF"/>
                  <w:sz w:val="20"/>
                </w:rPr>
                <w:t>гр. 7</w:t>
              </w:r>
            </w:hyperlink>
            <w:r>
              <w:rPr>
                <w:sz w:val="20"/>
              </w:rPr>
              <w:t xml:space="preserve"> x гр. 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bookmarkStart w:id="11" w:name="P173"/>
            <w:bookmarkEnd w:id="11"/>
            <w:r>
              <w:rPr>
                <w:sz w:val="20"/>
              </w:rPr>
              <w:t xml:space="preserve">Плата за содержание и </w:t>
            </w:r>
            <w:r>
              <w:rPr>
                <w:sz w:val="20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  <w:rPr>
                <w:sz w:val="20"/>
              </w:rPr>
            </w:pPr>
            <w:bookmarkStart w:id="12" w:name="P174"/>
            <w:bookmarkEnd w:id="12"/>
            <w:r>
              <w:rPr>
                <w:sz w:val="20"/>
              </w:rPr>
              <w:t xml:space="preserve">Сумма расходов (руб.) </w:t>
            </w:r>
            <w:hyperlink w:anchor="P162">
              <w:r>
                <w:rPr>
                  <w:color w:val="0000FF"/>
                  <w:sz w:val="20"/>
                </w:rPr>
                <w:t>гр. 5</w:t>
              </w:r>
            </w:hyperlink>
            <w:r>
              <w:rPr>
                <w:sz w:val="20"/>
              </w:rPr>
              <w:t xml:space="preserve"> x </w:t>
            </w:r>
            <w:hyperlink w:anchor="P173">
              <w:r>
                <w:rPr>
                  <w:color w:val="0000FF"/>
                  <w:sz w:val="20"/>
                </w:rPr>
                <w:t>гр. 11</w:t>
              </w:r>
            </w:hyperlink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644418">
            <w:pPr>
              <w:widowControl w:val="0"/>
              <w:spacing w:after="1" w:line="0" w:lineRule="atLeast"/>
            </w:pPr>
          </w:p>
        </w:tc>
      </w:tr>
      <w:tr w:rsidR="00644418">
        <w:trPr>
          <w:trHeight w:val="2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8" w:rsidRDefault="005F3849">
            <w:pPr>
              <w:pStyle w:val="ConsPlusNormal"/>
              <w:jc w:val="center"/>
            </w:pPr>
            <w:r>
              <w:t>13</w:t>
            </w:r>
          </w:p>
        </w:tc>
      </w:tr>
    </w:tbl>
    <w:p w:rsidR="00644418" w:rsidRDefault="005F3849">
      <w:pPr>
        <w:pStyle w:val="ConsPlusNormal"/>
        <w:jc w:val="right"/>
        <w:outlineLvl w:val="1"/>
      </w:pPr>
      <w:r>
        <w:t>Приложение N 2</w:t>
      </w:r>
    </w:p>
    <w:p w:rsidR="00644418" w:rsidRDefault="005F3849">
      <w:pPr>
        <w:pStyle w:val="ConsPlusNormal"/>
        <w:jc w:val="right"/>
      </w:pPr>
      <w:r>
        <w:t>к Порядку</w:t>
      </w:r>
    </w:p>
    <w:p w:rsidR="00644418" w:rsidRDefault="00644418">
      <w:pPr>
        <w:pStyle w:val="ConsPlusNormal"/>
        <w:jc w:val="right"/>
      </w:pPr>
    </w:p>
    <w:p w:rsidR="00644418" w:rsidRDefault="005F3849">
      <w:pPr>
        <w:pStyle w:val="ConsPlusNormal"/>
        <w:jc w:val="center"/>
      </w:pPr>
      <w:r>
        <w:t>РАСЧЕТ</w:t>
      </w:r>
    </w:p>
    <w:p w:rsidR="00644418" w:rsidRDefault="005F3849">
      <w:pPr>
        <w:pStyle w:val="ConsPlusNormal"/>
        <w:jc w:val="center"/>
      </w:pPr>
      <w:r>
        <w:t>ОПЛАТЫ РАСХОДОВ ПО НЕЗАСЕЛЕННЫМ ЖИЛЫМ ПОМЕЩЕНИЯМ</w:t>
      </w:r>
    </w:p>
    <w:p w:rsidR="00644418" w:rsidRDefault="005F3849">
      <w:pPr>
        <w:pStyle w:val="ConsPlusNormal"/>
        <w:jc w:val="center"/>
      </w:pPr>
      <w:r>
        <w:t xml:space="preserve">МУНИЦИПАЛЬНОГО ЖИЛИЩНОГО ФОНДА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44418" w:rsidRDefault="00644418">
      <w:pPr>
        <w:pStyle w:val="ConsPlusNormal"/>
        <w:jc w:val="both"/>
      </w:pPr>
    </w:p>
    <w:p w:rsidR="00644418" w:rsidRDefault="00644418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644418" w:rsidRDefault="00644418"/>
    <w:sectPr w:rsidR="00644418">
      <w:headerReference w:type="default" r:id="rId10"/>
      <w:pgSz w:w="16838" w:h="11906" w:orient="landscape"/>
      <w:pgMar w:top="1701" w:right="1134" w:bottom="850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49" w:rsidRDefault="005F3849">
      <w:r>
        <w:separator/>
      </w:r>
    </w:p>
  </w:endnote>
  <w:endnote w:type="continuationSeparator" w:id="0">
    <w:p w:rsidR="005F3849" w:rsidRDefault="005F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49" w:rsidRDefault="005F3849">
      <w:r>
        <w:separator/>
      </w:r>
    </w:p>
  </w:footnote>
  <w:footnote w:type="continuationSeparator" w:id="0">
    <w:p w:rsidR="005F3849" w:rsidRDefault="005F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040627"/>
      <w:docPartObj>
        <w:docPartGallery w:val="Page Numbers (Top of Page)"/>
        <w:docPartUnique/>
      </w:docPartObj>
    </w:sdtPr>
    <w:sdtEndPr/>
    <w:sdtContent>
      <w:p w:rsidR="00644418" w:rsidRDefault="005F3849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66B0">
          <w:rPr>
            <w:noProof/>
          </w:rPr>
          <w:t>5</w:t>
        </w:r>
        <w:r>
          <w:fldChar w:fldCharType="end"/>
        </w:r>
      </w:p>
      <w:p w:rsidR="00644418" w:rsidRDefault="005F3849">
        <w:pPr>
          <w:pStyle w:val="af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754594"/>
      <w:docPartObj>
        <w:docPartGallery w:val="Page Numbers (Top of Page)"/>
        <w:docPartUnique/>
      </w:docPartObj>
    </w:sdtPr>
    <w:sdtEndPr/>
    <w:sdtContent>
      <w:p w:rsidR="00644418" w:rsidRDefault="005F3849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66B0">
          <w:rPr>
            <w:noProof/>
          </w:rPr>
          <w:t>8</w:t>
        </w:r>
        <w:r>
          <w:fldChar w:fldCharType="end"/>
        </w:r>
      </w:p>
      <w:p w:rsidR="00644418" w:rsidRDefault="005F3849">
        <w:pPr>
          <w:pStyle w:val="af0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8"/>
    <w:rsid w:val="005F3849"/>
    <w:rsid w:val="00644418"/>
    <w:rsid w:val="007C66B0"/>
    <w:rsid w:val="00C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D8A2"/>
  <w15:docId w15:val="{4723DCA0-C427-4F84-8476-9EC23E3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1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CB0AA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15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15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742D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B742D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742D8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B742D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CC1743"/>
    <w:rPr>
      <w:rFonts w:ascii="Tahoma" w:hAnsi="Tahoma" w:cs="Tahoma"/>
      <w:sz w:val="16"/>
      <w:szCs w:val="16"/>
    </w:rPr>
  </w:style>
  <w:style w:type="paragraph" w:styleId="ad">
    <w:name w:val="Block Text"/>
    <w:basedOn w:val="a"/>
    <w:qFormat/>
    <w:rsid w:val="00CB0AAA"/>
    <w:pPr>
      <w:ind w:left="1620" w:right="1435"/>
      <w:jc w:val="center"/>
    </w:pPr>
    <w:rPr>
      <w:b/>
      <w:bCs/>
    </w:rPr>
  </w:style>
  <w:style w:type="paragraph" w:styleId="ae">
    <w:name w:val="Body Text Indent"/>
    <w:basedOn w:val="a"/>
    <w:rsid w:val="00CB0AAA"/>
    <w:pPr>
      <w:spacing w:after="120"/>
      <w:ind w:left="283"/>
    </w:pPr>
    <w:rPr>
      <w:rFonts w:eastAsia="Calib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1159B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159B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29DCA9BEDA57B9C251AF460917A61C24FC045C22156C38B3C01BD7BAFE9C74593886796CCBB6C9E9DC03EC8DD1983C0C1B90059D9E0Dm3a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29DCA9BEDA57B9C251AF460917A61C24FC045C22156C38B3C01BD7BAFE9C74593886796CCBB6C9E9DC03EC8DD1983C0C1B90059D9E0Dm3a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29DCA9BEDA57B9C251AF460917A61B2CF10B5E26156C38B3C01BD7BAFE9C74593886796CC3BCC1E9DC03EC8DD1983C0C1B90059D9E0Dm3a2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Шикова</cp:lastModifiedBy>
  <cp:revision>4</cp:revision>
  <cp:lastPrinted>2022-03-24T10:01:00Z</cp:lastPrinted>
  <dcterms:created xsi:type="dcterms:W3CDTF">2022-04-11T08:07:00Z</dcterms:created>
  <dcterms:modified xsi:type="dcterms:W3CDTF">2022-04-11T08:08:00Z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