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954" w:firstLine="4536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954" w:firstLine="4536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ind w:left="5954" w:firstLine="4536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ЗАТО Свободный</w:t>
      </w:r>
    </w:p>
    <w:p>
      <w:pPr>
        <w:pStyle w:val="Normal"/>
        <w:widowControl w:val="false"/>
        <w:spacing w:lineRule="auto" w:line="240" w:before="0" w:after="0"/>
        <w:ind w:left="5954" w:firstLine="4536"/>
        <w:rPr>
          <w:rFonts w:ascii="Liberation Serif" w:hAnsi="Liberation Serif"/>
        </w:rPr>
      </w:pPr>
      <w:r>
        <w:rPr>
          <w:rFonts w:ascii="Liberation Serif" w:hAnsi="Liberation Serif"/>
        </w:rPr>
        <w:t>от « _</w:t>
      </w:r>
      <w:r>
        <w:rPr>
          <w:rFonts w:ascii="Liberation Serif" w:hAnsi="Liberation Serif"/>
        </w:rPr>
        <w:t>17</w:t>
      </w:r>
      <w:r>
        <w:rPr>
          <w:rFonts w:ascii="Liberation Serif" w:hAnsi="Liberation Serif"/>
        </w:rPr>
        <w:t>_ » февраля 2022 г. № _</w:t>
      </w:r>
      <w:r>
        <w:rPr>
          <w:rFonts w:ascii="Liberation Serif" w:hAnsi="Liberation Serif"/>
        </w:rPr>
        <w:t>60</w:t>
      </w:r>
    </w:p>
    <w:p>
      <w:pPr>
        <w:pStyle w:val="Normal"/>
        <w:widowControl w:val="false"/>
        <w:spacing w:lineRule="auto" w:line="240" w:before="0" w:after="0"/>
        <w:ind w:left="5954" w:firstLine="453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ПЛАН мероприятий («Дорожная карта»)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по улучшению состояния инвестиционного климата                                                                                                                         в  городском округе ЗАТО Свободный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/>
          <w:b/>
          <w:sz w:val="28"/>
          <w:szCs w:val="28"/>
        </w:rPr>
      </w:r>
    </w:p>
    <w:tbl>
      <w:tblPr>
        <w:tblStyle w:val="a5"/>
        <w:tblW w:w="160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3260"/>
        <w:gridCol w:w="709"/>
        <w:gridCol w:w="1134"/>
        <w:gridCol w:w="1134"/>
        <w:gridCol w:w="1135"/>
        <w:gridCol w:w="4110"/>
        <w:gridCol w:w="1417"/>
        <w:gridCol w:w="2267"/>
      </w:tblGrid>
      <w:tr>
        <w:trPr/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Но-мер стро-ки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Раздел рейтинга/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Значение показателя 2020 года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Планируемое значение показателя на 2021 год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Планируемое значение показателя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на 2022 год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Номер меро-приятия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25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Срок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исполнения мероприятия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Ответственный за достижение результата и реализацию мероприятия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Calibri" w:cs="Times New Roman"/>
          <w:sz w:val="2"/>
          <w:szCs w:val="2"/>
        </w:rPr>
      </w:pPr>
      <w:r>
        <w:rPr>
          <w:rFonts w:eastAsia="Calibri" w:cs="Times New Roman" w:ascii="Liberation Serif" w:hAnsi="Liberation Serif"/>
          <w:sz w:val="2"/>
          <w:szCs w:val="2"/>
        </w:rPr>
      </w:r>
    </w:p>
    <w:tbl>
      <w:tblPr>
        <w:tblStyle w:val="a5"/>
        <w:tblW w:w="5000" w:type="pct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"/>
        <w:gridCol w:w="2967"/>
        <w:gridCol w:w="18"/>
        <w:gridCol w:w="632"/>
        <w:gridCol w:w="1035"/>
        <w:gridCol w:w="1034"/>
        <w:gridCol w:w="1035"/>
        <w:gridCol w:w="3749"/>
        <w:gridCol w:w="1291"/>
        <w:gridCol w:w="2035"/>
      </w:tblGrid>
      <w:tr>
        <w:trPr/>
        <w:tc>
          <w:tcPr>
            <w:tcW w:w="7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2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8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0"/>
                <w:szCs w:val="20"/>
                <w:lang w:val="en-US" w:eastAsia="ru-RU" w:bidi="ar-SA"/>
              </w:rPr>
              <w:t>9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79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РЕГУЛЯТОРНАЯ СРЕДА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79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А.2. Повышение эффективности процедур по подключению к сетям теплоснабжения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right="-106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А. 2.2. Эффективность процедур по подключению к сетям теплоснабжения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(средний балл)</w:t>
            </w:r>
          </w:p>
        </w:tc>
        <w:tc>
          <w:tcPr>
            <w:tcW w:w="65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3,9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3,9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теплоснабжающей организацией (по согласованию) информации о доступности технологического присоединения объектов к теплосетям на сайте организации в сети Интернет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городского хозяйства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379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А.3. Повышение эффективности процедур по подключению к сетям водоснабжения водоотведения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9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right="-106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А. 3.2. Эффективность процедур по подключению к сетям водоснабжения и водоотведения (средний балл)</w:t>
            </w:r>
          </w:p>
        </w:tc>
        <w:tc>
          <w:tcPr>
            <w:tcW w:w="65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3,2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3,2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3,3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ресурсоснабжающей организацией (по согласованию) информации о доступности технологического присоединения объектов к теплосетям на сайте организации в сети Интернет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городского хозяйства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379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ИНСТИТУТЫ ДЛЯ БИЗНЕСА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379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Б.2. Эффективность организации механизмов поддержки бизнеса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9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Б.2.1.</w:t>
            </w:r>
            <w:r>
              <w:rPr>
                <w:rFonts w:eastAsia="Calibri" w:cs="Times New Roman" w:ascii="Liberation Serif" w:hAnsi="Liberation Serif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Эффективность деятельности инвестиционного уполномоченного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(средний балл)</w:t>
            </w:r>
          </w:p>
        </w:tc>
        <w:tc>
          <w:tcPr>
            <w:tcW w:w="65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3,7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на</w:t>
            </w: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официальном сайте администрации городского округа ЗАТО Свободный формы обратной связи с инвестиционным уполномоченным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 31.12.2022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9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Б.2.2 .Эффективность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(средний балл)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2,7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2,7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Формирование повестки заседаний Координационного Совета по инвестициям и развитию малого и среднего предпринимательства в городском округе ЗАТО Свободный  ежеквартально в соответствии с предложениями предпринимателей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Ежеквартально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79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Б.3. Качество информационной поддержки инвесторов и бизнеса</w:t>
            </w:r>
          </w:p>
        </w:tc>
      </w:tr>
      <w:tr>
        <w:trPr>
          <w:trHeight w:val="3160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99" w:right="-111" w:hanging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Б.3.1.Наличие и качество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(средний балл)</w:t>
            </w:r>
          </w:p>
          <w:p>
            <w:pPr>
              <w:pStyle w:val="Normal"/>
              <w:widowControl/>
              <w:spacing w:lineRule="auto" w:line="240" w:before="0" w:after="0"/>
              <w:ind w:left="-99" w:right="-111" w:hanging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-111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3,2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3,3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полной информации</w:t>
            </w: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на официальном сайте администрации городского округа ЗАТО Свободный об инвестиционной деятельности, об инвестиционных возможностях в муниципальном образовании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15.04.2022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79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ИНФРАСТРУКТУРА И РЕСУРСЫ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379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В.2. Качество и доступность финансовых и имущественных ресурсов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В.2.1.Удовлетворенность мерами поддержки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Продолжение работы по оказанию поддержки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 мере необходимости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В.2.2.Удовлетворенность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(средний балл)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3,2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3,2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Продолжение работы по оказанию имущественной поддержки субъектам малого и среднего предпринимательства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городского хозяйства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Своевременное размещение информации о высвободившемся муниципальном недвижимом имуществе городского округа   ЗАТО Свободный на официальном сайте администрации городского округа ЗАТО Свободный Интернет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течение 3 рабочих дней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городского хозяйства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информации на официальном сайте администрации городского округа ЗАТО Свободный в сети Интернет о процедуре предоставления муниципального имущества городского округа ЗАТО Свободный в аренду субъектам малого и среднего предпринимательства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30.12.2022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городского хозяйства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В.3.1 Динамика занятых на предприятиях и организациях муниципального образования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Создание новых рабочих мест, выделение служебного жилья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В.3.2 Уровень среднемесячной заработной платы на территории муниципального образования в сравнении со среднеобластным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0,7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0,8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Рассмотрение вопросов социально-трудовых отношений, взаимодействие с центром занятости населения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379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ПОДДЕРЖКА МАЛОГО И СРЕДНЕГО ПРЕДПРИНИМАТЕЛЬСТВА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379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Г.1. Качество организационной, инфраструктурной и информационной поддержки малого и среднего предпринимательства</w:t>
            </w:r>
          </w:p>
        </w:tc>
      </w:tr>
      <w:tr>
        <w:trPr>
          <w:trHeight w:val="5804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33" w:right="-107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Г.1.2 Доля субъектов малого и среднего предпринимательства, которым оказаны услуги муниципальными фондами поддержки малого и среднего предпринимательства/при отсутствии муниципальных фондов поддержки на территории – администрациями муниципальных образований в общей количестве субъектов малого и среднего предпринимательства в муниципальном образовании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0,05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0,05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Информирование предпринимательского сообщества в средствах массовой информации и социальных сетях о перечне услуг, предоставляемых администрацией городского округа ЗАТО Свободный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5804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33" w:right="-107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Г.1.3.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 заключенных</w:t>
            </w:r>
          </w:p>
          <w:p>
            <w:pPr>
              <w:pStyle w:val="Normal"/>
              <w:widowControl/>
              <w:spacing w:lineRule="auto" w:line="240" w:before="0" w:after="0"/>
              <w:ind w:left="33" w:right="-107" w:hanging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муниципальных контрактов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(средний балл)</w:t>
            </w:r>
          </w:p>
          <w:p>
            <w:pPr>
              <w:pStyle w:val="Normal"/>
              <w:widowControl/>
              <w:spacing w:lineRule="auto" w:line="240" w:before="0" w:after="0"/>
              <w:ind w:left="-99" w:right="-107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99" w:right="-107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0,43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0,43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0,43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Применение рекомендаций Департамента государственных закупок Свердловской области 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городского хозяйства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Обеспечение установленной доли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городского хозяйства администрации городского округа ЗАТО Свободный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3796" w:type="dxa"/>
            <w:gridSpan w:val="9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Г.2. Эффективность финансовой поддержки малого и среднего предпринимательства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Г.2.1.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(средний балл)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0,9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0,97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1,18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Внесение изменений в муниципальную </w:t>
            </w: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программу «Совершенствование социально-экономической политики и эффективности муниципального управления» на 2016- 2024 годы».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Г.2.2.Изменение количества субъектов малого и среднего предпринимательства и ИП, зарегистрированных на территории муниципального образования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информации на официальном сайте администрации городского округа ЗАТО Свободный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Г.3.2. Формирование раздела «Имущественная поддержка субъектов малого и среднего предпринимательства» на официальных сайтах муниципальных образований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Актуализация информации в разделе «Имущественная поддержка субъектов малого и среднего предпринимательства» на официальном сайте администрации городского округа ЗАТО Свободный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городского хозяйства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379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РАЗВИТИЕ КОНКУРЕНЦИИ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Д.1.1.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(средний бал)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0,50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Размещение актуальной информации на официальном сайте администрации городского округа ЗАТО Свободный в сети Интернет о состоянии </w:t>
            </w: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конкурентной среды и деятельности органов местного самоуправления.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Обеспечение перехода с сайта муниципального образования на сайт Министерства инвестиций и развития Свердловской области в раздел «Конкуренция»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Публикации в СМИ, на официальном сайте администрации городского округа ЗАТО Свободный в сети Интернет информации о развитии конкуренции в муниципальном образовании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 мере необходимости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373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Д.1.2. Наличие утвержденного Плана мероприятий ("дорожной карты") по содействию развития конкуренции на территории муниципального образования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(балл)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Утверждение  </w:t>
            </w: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Плана мероприятий ("дорожной карты") по содействию развития конкуренции на территории городского округа ЗАТО Свободный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31.12.2022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2017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Д.1.3. Ведение реестра хозяйствующих субъектов, доля участия МО в которых 50 % и более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Размещение и своевременная актуализация на сайте администрации </w:t>
            </w: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в сети Интернет</w:t>
            </w: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реестра хозяйствующих субъектов, доля участия МО в которых 50 % и более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Отдел городского хозяйства </w:t>
            </w:r>
            <w:bookmarkStart w:id="0" w:name="_GoBack"/>
            <w:bookmarkEnd w:id="0"/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Д.1.4. Проведение ежегодного мониторинга конкурентной среды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ежегодного мониторинга конкурентной среды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30.11.2021,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30.11.2022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Д.1.6. 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информации на официальном сайте администрации городского округа ЗАТО Свободный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458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379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Е.1.1. 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2,4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2,4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2,5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Изучение лучших практик муниципальных образований, продемонстрировавших значительно более высокие показатели в рейтинге содействия развитию конкуренции и обеспечения условий для благоприятного инвестиционного климата, внедрение их опыта на территории городского округа ЗАТО Свободный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Е.1.2. Количество субъектов малого предпринимательства (включая индивидуальных предпринимателей0 в расчете на 1 тыс. человек населения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8,2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8,2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8,3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информации на официальном сайте администрации городского округа ЗАТО Свободный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Е.1.4. Интегральный показатель оценки регулирующего воздействия и экспертизы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Нормативное закрепление процедур оценки регулирующего воздействия;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процедур оценки регулирующего воздействия.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 мере необходимости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Е.1.5. Интегральный показатель реализации целевых моделей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Изучение лучших практик муниципальных образований по внедрению целевых моделей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458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3796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ПОКАЗАТЕЛИ, ИЗМЕРЯЕМЫЕ ВНЕ РЕЙТИНГА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Ж.1.2. Доля населения в трудоспособном возрасте в общей численности населения по состоянию на 01.01.2016 года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0,7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0,7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0,7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Анализ статистических данных,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разработка прогноза социально-экономического развития.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Ж.1.3. Темп роста инвестиций в основной капитал, без учета бюджетных средств, по сравнению с предыдущим периодом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3,81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3,8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3,8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Анализ статистических данных,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разработка прогноза социально-экономического развития.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Ж.1.4. Объем инвестиций на душу населения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5,25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5,3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5,3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Анализ статистических данных,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разработка прогноза социально-экономического развития.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Ж.1.7. Темп роста инвестиций в основной капитал по сравнению с прошлым периодом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1,31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1,4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Анализ статистических данных,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разработка прогноза социально-экономического развития.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>
        <w:trPr>
          <w:trHeight w:val="1825" w:hRule="atLeast"/>
        </w:trPr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2985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Ж.1.8. Объем отгруженной продукции, работ и услуг на душу населения</w:t>
            </w:r>
          </w:p>
        </w:tc>
        <w:tc>
          <w:tcPr>
            <w:tcW w:w="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100,66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100,7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100,8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Анализ статистических данных,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разработка прогноза социально-экономического развития.</w:t>
            </w:r>
          </w:p>
        </w:tc>
        <w:tc>
          <w:tcPr>
            <w:tcW w:w="129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160"/>
        <w:rPr>
          <w:rFonts w:ascii="Liberation Serif" w:hAnsi="Liberation Serif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851" w:footer="0" w:bottom="454" w:gutter="0"/>
      <w:pgNumType w:start="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97007297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c95c6e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c95c6e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5b1521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fa0552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fa0552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note Text"/>
    <w:basedOn w:val="Normal"/>
    <w:link w:val="a4"/>
    <w:uiPriority w:val="99"/>
    <w:semiHidden/>
    <w:unhideWhenUsed/>
    <w:rsid w:val="00c95c6e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b15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 w:customStyle="1">
    <w:name w:val="Знак Знак"/>
    <w:basedOn w:val="Normal"/>
    <w:qFormat/>
    <w:rsid w:val="00814105"/>
    <w:pPr>
      <w:tabs>
        <w:tab w:val="clear" w:pos="708"/>
        <w:tab w:val="left" w:pos="720" w:leader="none"/>
      </w:tabs>
      <w:spacing w:lineRule="exact" w:line="240"/>
      <w:ind w:left="720" w:hanging="3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b"/>
    <w:uiPriority w:val="99"/>
    <w:unhideWhenUsed/>
    <w:rsid w:val="00fa055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d"/>
    <w:uiPriority w:val="99"/>
    <w:unhideWhenUsed/>
    <w:rsid w:val="00fa055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DC36-3425-4ED4-B43E-477A18DF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Application>LibreOffice/7.0.1.2$Windows_x86 LibreOffice_project/7cbcfc562f6eb6708b5ff7d7397325de9e764452</Application>
  <Pages>11</Pages>
  <Words>1644</Words>
  <Characters>12507</Characters>
  <CharactersWithSpaces>13940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2019-11-28T09:19:00Z</dcterms:created>
  <dc:creator>Иванова Егения Сергеевна</dc:creator>
  <dc:description/>
  <dc:language>ru-RU</dc:language>
  <cp:lastModifiedBy/>
  <cp:lastPrinted>2022-02-10T04:12:00Z</cp:lastPrinted>
  <dcterms:modified xsi:type="dcterms:W3CDTF">2022-02-18T11:36:51Z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