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бюджетного учреждения дополнительного образования «Детско – юношеская спортивная школа»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8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в период с 11 сентября по 06 октября 2023 года проведена проверка Муниципального бюджетного учреждения дополнительного образования «Детско — юношеская спортивная школа». Проверяемый период:</w:t>
              <w:br/>
              <w:t>с 01.01.2022 по 31.12.2022 год.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8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">
              <w:r>
                <w:rPr>
                  <w:rFonts w:ascii="Liberation Serif" w:hAnsi="Liberation Serif"/>
                  <w:sz w:val="28"/>
                  <w:szCs w:val="28"/>
                </w:rPr>
                <w:t>В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ходе контрольного мероприятия установлено: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- в нарушение п. 9 Приказа № 274н учреждением не размещены основные положения учетной политики и (или) копии документов учетной политики на официальном сайте субъекта учета в информационно-телекоммуникационной сети «Интернет»;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9" w:leader="none"/>
              </w:tabs>
              <w:suppressAutoHyphens w:val="false"/>
              <w:ind w:firstLine="851"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hyperlink r:id="rId3">
              <w:r>
                <w:rPr>
                  <w:rFonts w:eastAsia="Calibri" w:cs="Liberation Serif" w:ascii="Liberation Serif" w:hAnsi="Liberation Serif"/>
                  <w:sz w:val="28"/>
                  <w:szCs w:val="28"/>
                </w:rPr>
                <w:t xml:space="preserve">- в нарушение п. 213 Инструкции № 157н </w:t>
              </w:r>
              <w:r>
                <w:rPr>
                  <w:rFonts w:ascii="Liberation Serif" w:hAnsi="Liberation Serif"/>
                  <w:bCs/>
                  <w:color w:val="000000" w:themeColor="text1"/>
                  <w:sz w:val="28"/>
                  <w:szCs w:val="28"/>
                </w:rPr>
                <w:t>не соблюдается установленный порядок выдачи денежных средств подотчет, а именно: выдача денежных средств подотчет происходит после фактического расходования денежных средств подотчетными лицами на административно – хозяйственные нужды;</w:t>
              </w:r>
            </w:hyperlink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851"/>
              <w:jc w:val="both"/>
              <w:rPr>
                <w:rFonts w:ascii="Liberation Serif" w:hAnsi="Liberation Serif" w:eastAsia="Calibri" w:cs="Liberation Serif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- в нарушение Инструкции № 157н порядок компенсации работнику расходов, произведенных им на нужды учреждения без предварительного получения денежных средств под отчет, в учетной политике учреждения не закреплен</w:t>
            </w:r>
            <w:r>
              <w:rPr>
                <w:rFonts w:eastAsia="Calibri" w:cs="Liberation Serif" w:ascii="Liberation Serif" w:hAnsi="Liberation Serif"/>
                <w:i/>
                <w:iCs/>
                <w:sz w:val="28"/>
                <w:szCs w:val="28"/>
              </w:rPr>
              <w:t>;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851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eastAsia="Calibri" w:cs="Liberation Serif" w:ascii="Liberation Serif" w:hAnsi="Liberation Serif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нарушение пункта 6.3. Указания № 3210 - У срок предоставление авансового отчета подотчетным лицом в соответствии с 7.4 учетной политики </w:t>
              <w:br/>
              <w:t>(3 рабочих дня), что противоречит строке 16 Приложения № 17 к учетной политике учреждения, в соответствии с которой авансовый отчет предоставляется в течение 10 дней с момента получения денежных средств на хозяйственные расходы;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- в нарушение п. 1 ст. 8 Федерального закона № 402-ФЗ, пп. «а» п.9 СГС «Учетная политика», аб. 11 п. 302.1 Инструкции № 157н положениями учетной политики не предусмотрен порядок формирования резервов предстоящих расходов;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 xml:space="preserve">- в нарушение п. 3 ст. 9.2 Федерального закона № 7-ФЗ </w:t>
              <w:br/>
              <w:t>«О некоммерческих организациях» не все муниципальные услуги соответствующие основным видам деятельности, утвержденным Уставом учреждения, включены в муниципальное задание МБУ ДО ДЮСШ;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- квартальные формы отчетов о выполнении муниципального задания не соответствуют квартальным формам отчета установленным Приложением № 2 Порядка формирования муниципального задания;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uppressAutoHyphens w:val="false"/>
              <w:ind w:firstLine="851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- в нарушение п. 5 ст. 69.2 БК РФ, п. 4.2 части 2 «Прочие сведения о муниципальном задании» муниципального задания отчет по исполнению муниципального задания за период апрель - июнь 2022 года представлен с нарушением установленного срока;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uppressAutoHyphens w:val="false"/>
              <w:ind w:firstLine="851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- в нарушение п.5 ст. 69.2 БК РФ, п. 9 Порядка формирования муниципального задания форма отчета об исполнении муниципального задания за январь – декабрь 2022 года (годовая) представлена учредителю с нарушением предъявленных требований;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35" w:leader="none"/>
              </w:tabs>
              <w:suppressAutoHyphens w:val="false"/>
              <w:ind w:firstLine="851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- в отчете об исполнении муниципального задания за 2022 год недостоверно отражены данные о фактическом исполнении муниципального задания по муниципальной услуге «Реализация дополнительных общеразвивающих программ», муниципальное задание не выполнено. Сумма субсидии на муниципальное задание в части невыполненных показателей подлежит возврату в соответствующий бюджет.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4"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Акт по результатам проведения проверки соблюдения МБУ ДО ДЮСШ бюджетного законодательства Российской Федерации и иных нормативных правовых актов, регулирующих бюджетные правоотношения, </w:t>
              </w:r>
              <w:r>
                <w:rPr>
                  <w:rFonts w:cs="Calibri" w:ascii="Liberation Serif" w:hAnsi="Liberation Serif"/>
                  <w:sz w:val="28"/>
                  <w:szCs w:val="28"/>
                </w:rPr>
                <w:t>направлен</w:t>
              </w:r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 в Верхнесалдинскую городскую прокуратуру. Учреждению выдано представление по результатам контрольного мероприятия.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5"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>Информация по результатам контрольного мероприятия доведена до Главы городского округа ЗАТО Свободный.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723805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c15949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3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pPr>
      <w:suppressAutoHyphens w:val="false"/>
      <w:spacing w:lineRule="auto" w:line="276" w:beforeAutospacing="1" w:after="142"/>
    </w:pPr>
    <w:rPr>
      <w:color w:val="000000"/>
    </w:rPr>
  </w:style>
  <w:style w:type="paragraph" w:styleId="31" w:customStyle="1">
    <w:name w:val="Обычная таблиц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4" w:customStyle="1">
    <w:name w:val="Обычная таблиц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3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4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5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199A-69C1-45BB-8F3C-673EDA80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17489</TotalTime>
  <Application>LibreOffice/7.0.1.2$Windows_x86 LibreOffice_project/7cbcfc562f6eb6708b5ff7d7397325de9e764452</Application>
  <Pages>2</Pages>
  <Words>465</Words>
  <Characters>3165</Characters>
  <CharactersWithSpaces>3621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2023-11-01T13:12:58Z</dcterms:modified>
  <cp:revision>417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