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right="0" w:firstLine="568"/>
        <w:jc w:val="center"/>
        <w:rPr/>
      </w:pPr>
      <w:r>
        <w:rPr>
          <w:rFonts w:ascii="Liberation Serif" w:hAnsi="Liberation Serif"/>
          <w:b/>
          <w:sz w:val="28"/>
          <w:szCs w:val="28"/>
        </w:rPr>
        <w:t xml:space="preserve">Информация о результатах проверки </w:t>
      </w:r>
      <w:r>
        <w:rPr>
          <w:rFonts w:eastAsia="Times New Roman" w:cs="Times New Roman" w:ascii="Liberation Serif" w:hAnsi="Liberation Serif"/>
          <w:b/>
          <w:color w:val="000000"/>
          <w:kern w:val="0"/>
          <w:sz w:val="28"/>
          <w:szCs w:val="28"/>
          <w:lang w:val="ru-RU" w:eastAsia="ru-RU" w:bidi="ar-SA"/>
        </w:rPr>
        <w:t>соблюдения</w:t>
      </w:r>
      <w:r>
        <w:rPr>
          <w:rFonts w:ascii="Liberation Serif" w:hAnsi="Liberation Serif"/>
          <w:b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Муниципальным бюджетным учреждением дополнительного образования Центр детского творчества «Калейдоскоп»</w:t>
      </w:r>
    </w:p>
    <w:tbl>
      <w:tblPr>
        <w:tblW w:w="9973" w:type="dxa"/>
        <w:jc w:val="left"/>
        <w:tblInd w:w="12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3"/>
      </w:tblGrid>
      <w:tr>
        <w:trPr>
          <w:trHeight w:val="3569" w:hRule="atLeast"/>
        </w:trPr>
        <w:tc>
          <w:tcPr>
            <w:tcW w:w="9973" w:type="dxa"/>
            <w:tcBorders/>
          </w:tcPr>
          <w:p>
            <w:pPr>
              <w:pStyle w:val="Normal"/>
              <w:ind w:left="-142" w:right="0" w:firstLine="568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-57" w:right="0" w:firstLine="737"/>
              <w:jc w:val="both"/>
              <w:rPr/>
            </w:pPr>
            <w:r>
              <w:rPr>
                <w:color w:val="000000"/>
                <w:sz w:val="28"/>
                <w:szCs w:val="28"/>
                <w:u w:val="none"/>
              </w:rPr>
              <w:t xml:space="preserve">Финансовым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отделом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администрации</w:t>
            </w:r>
            <w:r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а ЗАТО Свободный </w:t>
            </w:r>
            <w:r>
              <w:rPr>
                <w:sz w:val="28"/>
                <w:szCs w:val="28"/>
              </w:rPr>
              <w:t xml:space="preserve"> в период с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13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проведена плановая проверка соблюдения требований законодательства о контрактной системе в сфере закупок в рамках полномочий, установленных частью 8 статьи 99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в Муниципальном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бюджетном</w:t>
            </w:r>
            <w:r>
              <w:rPr>
                <w:sz w:val="28"/>
                <w:szCs w:val="28"/>
              </w:rPr>
              <w:t xml:space="preserve"> учреждении  </w:t>
            </w:r>
            <w:r>
              <w:rPr>
                <w:sz w:val="28"/>
                <w:szCs w:val="28"/>
              </w:rPr>
              <w:t>дополнительного образования Центр детского творчества «Калейдоскоп».</w:t>
            </w:r>
            <w:r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яемый</w:t>
            </w:r>
            <w:r>
              <w:rPr>
                <w:sz w:val="28"/>
                <w:szCs w:val="28"/>
              </w:rPr>
              <w:t xml:space="preserve"> период с  </w:t>
            </w:r>
            <w:r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января 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по 31 декабря 2019 года.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firstLine="567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u w:val="none"/>
              </w:rPr>
              <w:t>В ходе контрольного мероприятия выявлены следующие нарушения: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-57" w:right="0" w:firstLine="737"/>
              <w:contextualSpacing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strike w:val="false"/>
                <w:dstrike w:val="false"/>
                <w:color w:val="000000"/>
                <w:sz w:val="28"/>
                <w:szCs w:val="28"/>
                <w:u w:val="none"/>
              </w:rPr>
              <w:t xml:space="preserve">- в нарушение ч. 5 ст. 24 Федерального закона №44-ФЗ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strike w:val="false"/>
                <w:dstrike w:val="false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Заказчик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strike w:val="false"/>
                <w:dstrike w:val="false"/>
                <w:color w:val="000000"/>
                <w:sz w:val="28"/>
                <w:szCs w:val="28"/>
                <w:u w:val="none"/>
              </w:rPr>
              <w:t xml:space="preserve"> не использует конкурентные способы определения поставщика, влекущие необоснованное сокращение участников закупок и несоблюдение принципа эффективности  закупок.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8"/>
                <w:tab w:val="left" w:pos="34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-57" w:right="0" w:firstLine="737"/>
              <w:contextualSpacing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  <w:u w:val="none"/>
              </w:rPr>
              <w:t>- в</w:t>
            </w:r>
            <w:hyperlink r:id="rId2">
              <w:r>
                <w:rPr>
                  <w:rFonts w:ascii="Liberation Serif" w:hAnsi="Liberation Serif"/>
                  <w:b w:val="false"/>
                  <w:bCs w:val="false"/>
                  <w:color w:val="000000"/>
                  <w:sz w:val="28"/>
                  <w:szCs w:val="28"/>
                  <w:u w:val="none"/>
                </w:rPr>
                <w:t xml:space="preserve"> нарушение ч. 2 ст. 34 Федерального Закона № 44-</w:t>
              </w:r>
              <w:r>
                <w:rPr>
                  <w:rFonts w:ascii="Liberation Serif" w:hAnsi="Liberation Serif"/>
                  <w:color w:val="000000"/>
                  <w:sz w:val="28"/>
                  <w:szCs w:val="28"/>
                  <w:u w:val="none"/>
                </w:rPr>
                <w:t>ФЗ при выборочной проверке договоров, заключенных с единственным поставщиком, не указано обязательное условие договора, что цена контракта является твердой и определяется на весь срок исполнения контракта</w:t>
              </w:r>
            </w:hyperlink>
            <w:r>
              <w:rPr>
                <w:rFonts w:ascii="Liberation Serif" w:hAnsi="Liberation Serif"/>
                <w:color w:val="000000"/>
                <w:sz w:val="28"/>
                <w:szCs w:val="28"/>
                <w:u w:val="none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8"/>
                <w:tab w:val="left" w:pos="34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-57" w:right="0" w:firstLine="737"/>
              <w:contextualSpacing/>
              <w:jc w:val="both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  <w:u w:val="none"/>
              </w:rPr>
              <w:t>- в нарушении пункта 1 статьи 454, пункта 1 статьи 485 ГК РФ в договорах не указана цена (тариф) из чего складывается сумма договора;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8"/>
                <w:tab w:val="left" w:pos="34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  <w:u w:val="none"/>
              </w:rPr>
              <w:t>- в нарушении частей 6, 7 статьи 94 Федерального закона № 44-ФЗ при выборочной проверки договоров выявлена ненадлежащая приемка выполненных работ, оказанных услуг.</w:t>
            </w:r>
          </w:p>
          <w:p>
            <w:pPr>
              <w:pStyle w:val="3"/>
              <w:widowControl/>
              <w:tabs>
                <w:tab w:val="clear" w:pos="1020"/>
                <w:tab w:val="clear" w:pos="2220"/>
                <w:tab w:val="left" w:pos="34" w:leader="none"/>
                <w:tab w:val="left" w:pos="750" w:leader="none"/>
                <w:tab w:val="left" w:pos="1594" w:leader="none"/>
                <w:tab w:val="left" w:pos="3718" w:leader="none"/>
                <w:tab w:val="left" w:pos="15984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firstLine="737"/>
              <w:jc w:val="both"/>
              <w:rPr/>
            </w:pPr>
            <w:r>
              <w:rPr/>
            </w:r>
          </w:p>
        </w:tc>
      </w:tr>
      <w:tr>
        <w:trPr>
          <w:trHeight w:val="3569" w:hRule="atLeast"/>
        </w:trPr>
        <w:tc>
          <w:tcPr>
            <w:tcW w:w="9973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567" w:header="238" w:top="1089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Times New Roman" w:hAnsi="Times New Roman" w:eastAsia="Times New Roman" w:cs="Times New Roman"/>
        <w:color w:val="auto"/>
        <w:kern w:val="0"/>
        <w:sz w:val="24"/>
        <w:szCs w:val="24"/>
        <w:lang w:val="ru-RU" w:eastAsia="ru-RU" w:bidi="ar-SA"/>
      </w:rPr>
    </w:pPr>
    <w:r>
      <w:rPr>
        <w:rFonts w:eastAsia="Times New Roman" w:cs="Times New Roman"/>
        <w:color w:val="auto"/>
        <w:kern w:val="0"/>
        <w:sz w:val="24"/>
        <w:szCs w:val="24"/>
        <w:lang w:val="ru-RU" w:eastAsia="ru-RU" w:bidi="ar-SA"/>
      </w:rPr>
      <w:fldChar w:fldCharType="begin"/>
    </w:r>
    <w:r>
      <w:rPr>
        <w:sz w:val="24"/>
        <w:kern w:val="0"/>
        <w:szCs w:val="24"/>
        <w:rFonts w:eastAsia="Times New Roman" w:cs="Times New Roman"/>
        <w:color w:val="auto"/>
        <w:lang w:val="ru-RU" w:eastAsia="ru-RU" w:bidi="ar-SA"/>
      </w:rPr>
      <w:instrText> PAGE </w:instrText>
    </w:r>
    <w:r>
      <w:rPr>
        <w:sz w:val="24"/>
        <w:kern w:val="0"/>
        <w:szCs w:val="24"/>
        <w:rFonts w:eastAsia="Times New Roman" w:cs="Times New Roman"/>
        <w:color w:val="auto"/>
        <w:lang w:val="ru-RU" w:eastAsia="ru-RU" w:bidi="ar-SA"/>
      </w:rPr>
      <w:fldChar w:fldCharType="separate"/>
    </w:r>
    <w:r>
      <w:rPr>
        <w:sz w:val="24"/>
        <w:kern w:val="0"/>
        <w:szCs w:val="24"/>
        <w:rFonts w:eastAsia="Times New Roman" w:cs="Times New Roman"/>
        <w:color w:val="auto"/>
        <w:lang w:val="ru-RU" w:eastAsia="ru-RU" w:bidi="ar-SA"/>
      </w:rPr>
      <w:t>0</w:t>
    </w:r>
    <w:r>
      <w:rPr>
        <w:sz w:val="24"/>
        <w:kern w:val="0"/>
        <w:szCs w:val="24"/>
        <w:rFonts w:eastAsia="Times New Roman" w:cs="Times New Roman"/>
        <w:color w:val="auto"/>
        <w:lang w:val="ru-RU" w:eastAsia="ru-RU" w:bidi="ar-S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1287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4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autoRedefine/>
    <w:qFormat/>
    <w:pPr>
      <w:keepNext w:val="true"/>
      <w:keepLines/>
      <w:numPr>
        <w:ilvl w:val="0"/>
        <w:numId w:val="1"/>
      </w:numPr>
      <w:shd w:val="clear" w:fill="FFFFFF"/>
      <w:suppressAutoHyphens w:val="true"/>
      <w:spacing w:before="360" w:after="240"/>
      <w:ind w:left="0" w:right="0" w:hanging="0"/>
      <w:contextualSpacing/>
      <w:outlineLvl w:val="0"/>
    </w:pPr>
    <w:rPr>
      <w:rFonts w:ascii="Calibri" w:hAnsi="Calibri" w:eastAsia="Calibri"/>
      <w:b/>
      <w:bCs/>
      <w:color w:val="FF0000"/>
      <w:lang w:val="x-none" w:eastAsia="en-US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Normal"/>
    <w:next w:val="Normal"/>
    <w:qFormat/>
    <w:pPr>
      <w:keepNext w:val="true"/>
      <w:jc w:val="center"/>
      <w:outlineLvl w:val="4"/>
    </w:pPr>
    <w:rPr>
      <w:b/>
      <w:bCs/>
      <w:lang w:val="x-none" w:eastAsia="x-none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libri" w:hAnsi="Calibri" w:eastAsia="Calibri" w:cs="Times New Roman"/>
      <w:b/>
      <w:bCs/>
      <w:color w:val="FF0000"/>
      <w:sz w:val="24"/>
      <w:szCs w:val="24"/>
      <w:highlight w:val="white"/>
      <w:lang w:val="x-none"/>
    </w:rPr>
  </w:style>
  <w:style w:type="character" w:styleId="21">
    <w:name w:val="Заголовок 2 Знак"/>
    <w:basedOn w:val="DefaultParagraphFont"/>
    <w:qFormat/>
    <w:rPr>
      <w:rFonts w:ascii="Calibri Light" w:hAnsi="Calibri Light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Style1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51">
    <w:name w:val="Заголовок 5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2">
    <w:name w:val="Интернет-ссылка"/>
    <w:rPr>
      <w:color w:val="0000FF"/>
      <w:u w:val="single"/>
    </w:rPr>
  </w:style>
  <w:style w:type="character" w:styleId="ConsPlusNormal">
    <w:name w:val="ConsPlusNormal Знак"/>
    <w:qFormat/>
    <w:rPr>
      <w:rFonts w:ascii="Arial" w:hAnsi="Arial" w:cs="Arial"/>
    </w:rPr>
  </w:style>
  <w:style w:type="character" w:styleId="ConsPlusNonformat">
    <w:name w:val="ConsPlusNonformat Знак"/>
    <w:qFormat/>
    <w:rPr>
      <w:rFonts w:ascii="Courier New" w:hAnsi="Courier New" w:cs="Courier New"/>
    </w:rPr>
  </w:style>
  <w:style w:type="character" w:styleId="S1">
    <w:name w:val="s1"/>
    <w:basedOn w:val="DefaultParagraphFont"/>
    <w:qFormat/>
    <w:rPr/>
  </w:style>
  <w:style w:type="character" w:styleId="Basecolor">
    <w:name w:val="basecolor"/>
    <w:basedOn w:val="DefaultParagraphFont"/>
    <w:qFormat/>
    <w:rPr/>
  </w:style>
  <w:style w:type="character" w:styleId="Style13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Символ нумерации"/>
    <w:qFormat/>
    <w:rPr>
      <w:rFonts w:ascii="Liberation Serif" w:hAnsi="Liberation Serif"/>
      <w:position w:val="0"/>
      <w:sz w:val="28"/>
      <w:sz w:val="28"/>
      <w:szCs w:val="28"/>
      <w:vertAlign w:val="baseline"/>
    </w:rPr>
  </w:style>
  <w:style w:type="character" w:styleId="Style16">
    <w:name w:val="Абзац списка Знак"/>
    <w:qFormat/>
    <w:rPr>
      <w:rFonts w:ascii="Calibri" w:hAnsi="Calibri" w:eastAsia="Calibri" w:cs="Calibri"/>
      <w:sz w:val="22"/>
      <w:lang w:val="ru-RU" w:eastAsia="en-US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ConsPlusNormal1">
    <w:name w:val="ConsPlusNorma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Calibri" w:cs="Arial"/>
      <w:color w:val="auto"/>
      <w:kern w:val="0"/>
      <w:sz w:val="24"/>
      <w:szCs w:val="22"/>
      <w:lang w:val="ru-RU" w:eastAsia="en-US" w:bidi="ar-SA"/>
    </w:rPr>
  </w:style>
  <w:style w:type="paragraph" w:styleId="3">
    <w:name w:val="Название объекта3"/>
    <w:basedOn w:val="Normal"/>
    <w:qFormat/>
    <w:pPr>
      <w:tabs>
        <w:tab w:val="clear" w:pos="708"/>
        <w:tab w:val="left" w:pos="750" w:leader="none"/>
        <w:tab w:val="left" w:pos="1020" w:leader="none"/>
        <w:tab w:val="left" w:pos="2220" w:leader="none"/>
        <w:tab w:val="left" w:pos="3718" w:leader="none"/>
        <w:tab w:val="left" w:pos="15984" w:leader="none"/>
      </w:tabs>
      <w:suppressAutoHyphens w:val="true"/>
      <w:overflowPunct w:val="true"/>
      <w:spacing w:lineRule="auto" w:line="204"/>
      <w:ind w:left="0" w:right="0" w:firstLine="567"/>
      <w:jc w:val="both"/>
    </w:pPr>
    <w:rPr>
      <w:lang w:eastAsia="ar-SA"/>
    </w:rPr>
  </w:style>
  <w:style w:type="paragraph" w:styleId="22">
    <w:name w:val="Название объекта2"/>
    <w:basedOn w:val="Normal"/>
    <w:qFormat/>
    <w:pPr>
      <w:suppressAutoHyphens w:val="true"/>
      <w:overflowPunct w:val="true"/>
      <w:jc w:val="center"/>
    </w:pPr>
    <w:rPr>
      <w:sz w:val="28"/>
      <w:szCs w:val="20"/>
      <w:lang w:eastAsia="ar-SA"/>
    </w:rPr>
  </w:style>
  <w:style w:type="paragraph" w:styleId="ConsPlusNonformat1">
    <w:name w:val="ConsPlusNonformat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ourier New" w:hAnsi="Courier New" w:eastAsia="Calibri" w:cs="Courier New"/>
      <w:color w:val="auto"/>
      <w:kern w:val="0"/>
      <w:sz w:val="24"/>
      <w:szCs w:val="22"/>
      <w:lang w:val="ru-RU" w:eastAsia="en-US" w:bidi="ar-SA"/>
    </w:rPr>
  </w:style>
  <w:style w:type="paragraph" w:styleId="ConsPlusCell">
    <w:name w:val="ConsPlusCel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pyrightinfo">
    <w:name w:val="copyright-info"/>
    <w:basedOn w:val="Normal"/>
    <w:qFormat/>
    <w:pPr>
      <w:spacing w:before="280" w:after="280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NormalTable">
    <w:name w:val="Normal Table"/>
    <w:qFormat/>
    <w:pPr>
      <w:widowControl/>
      <w:suppressAutoHyphens w:val="true"/>
      <w:overflowPunct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0"/>
      <w:szCs w:val="22"/>
      <w:lang w:val="ru-RU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3E5680901EB73A4B61E8D942B4905AC81720EB5C447C7703B924DA88DA6C83FD4EA4947AD3FFFE9DABBDCECD1u9RFD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8857</TotalTime>
  <Application>LibreOffice/6.4.4.2$Windows_x86 LibreOffice_project/3d775be2011f3886db32dfd395a6a6d1ca2630ff</Application>
  <Pages>1</Pages>
  <Words>231</Words>
  <Characters>1500</Characters>
  <CharactersWithSpaces>1727</CharactersWithSpaces>
  <Paragraphs>8</Paragraphs>
  <Company>КонсультантПлюс Версия 4020.00.21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2020-07-27T10:14:00Z</dcterms:created>
  <dc:creator>Щекалева</dc:creator>
  <dc:description/>
  <dc:language>ru-RU</dc:language>
  <cp:lastModifiedBy/>
  <dcterms:modified xsi:type="dcterms:W3CDTF">2020-07-29T15:23:20Z</dcterms:modified>
  <cp:revision>201</cp:revision>
  <dc:subject/>
  <dc:title>Решение Чувашского УФАС России от 18.02.2019 по делу N 11-К-2019Обстоятельства: Поступила жалоба на положения аукционной документации заказчика при проведении электронного аукциона на строительство сельского дома культуры.Решение: Признать жалобу необоснованной.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