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49" w:rsidRPr="00DA4943" w:rsidRDefault="00E03749" w:rsidP="00E03749">
      <w:pPr>
        <w:spacing w:line="271" w:lineRule="auto"/>
        <w:jc w:val="center"/>
      </w:pP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Сведения об использовании бюджетных средств за 2022 год</w:t>
      </w:r>
    </w:p>
    <w:p w:rsidR="00E03749" w:rsidRPr="00DA4943" w:rsidRDefault="00E03749" w:rsidP="00E03749">
      <w:pPr>
        <w:spacing w:line="271" w:lineRule="auto"/>
        <w:ind w:firstLine="560"/>
        <w:jc w:val="center"/>
        <w:rPr>
          <w:rFonts w:ascii="Liberation Serif" w:eastAsia="Courier New" w:hAnsi="Liberation Serif" w:cs="Courier New"/>
          <w:sz w:val="26"/>
          <w:szCs w:val="26"/>
        </w:rPr>
      </w:pPr>
    </w:p>
    <w:p w:rsidR="00E03749" w:rsidRPr="003873E6" w:rsidRDefault="00E03749" w:rsidP="00E03749">
      <w:pPr>
        <w:spacing w:line="271" w:lineRule="auto"/>
        <w:ind w:firstLine="560"/>
        <w:jc w:val="both"/>
      </w:pPr>
      <w:r w:rsidRPr="00DA4943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По итогам 2022 года наибольшее исполнение в структуре расходов бюджета занимают расходы по разделу «Культура» - 100%, «Физическая культура и спорт» - 100%, «Образование» - 99,6%, «Национальная оборона» - 97,7%,  «Социальная политика» - 96,7%, «Национальная безопасность и правоохранительная деятельность» - 96,2%, «Здравоохранение» - 94,5%, «Общегосударственные вопросы» -</w:t>
      </w:r>
      <w:r w:rsidRPr="00DA4943">
        <w:rPr>
          <w:rFonts w:ascii="Liberation Serif" w:eastAsia="Courier New" w:hAnsi="Liberation Serif" w:cs="Courier New"/>
          <w:color w:val="000000"/>
          <w:sz w:val="26"/>
          <w:szCs w:val="26"/>
        </w:rPr>
        <w:t xml:space="preserve"> 92,6%, </w:t>
      </w:r>
      <w:r w:rsidRPr="00DA4943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«Средства массовой информации» - 91,1%,   </w:t>
      </w:r>
      <w:r w:rsidRPr="00DA4943">
        <w:rPr>
          <w:rFonts w:ascii="Liberation Serif" w:eastAsia="Courier New" w:hAnsi="Liberation Serif" w:cs="Courier New"/>
          <w:color w:val="000000"/>
          <w:sz w:val="26"/>
          <w:szCs w:val="26"/>
        </w:rPr>
        <w:t>«Национальная экономика» - 81,6%.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954"/>
        <w:gridCol w:w="1205"/>
        <w:gridCol w:w="1532"/>
        <w:gridCol w:w="1095"/>
        <w:gridCol w:w="14"/>
        <w:gridCol w:w="1543"/>
        <w:gridCol w:w="1316"/>
      </w:tblGrid>
      <w:tr w:rsidR="00E03749" w:rsidRPr="003873E6" w:rsidTr="009770AE">
        <w:trPr>
          <w:trHeight w:val="104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ind w:hanging="100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Раздел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План, сумма</w:t>
            </w:r>
          </w:p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тыс. руб.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ind w:firstLine="40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E03749" w:rsidRPr="003873E6" w:rsidRDefault="00E03749" w:rsidP="009770AE">
            <w:pPr>
              <w:shd w:val="clear" w:color="auto" w:fill="FFFFFF"/>
              <w:spacing w:line="271" w:lineRule="auto"/>
              <w:ind w:firstLine="40"/>
              <w:jc w:val="center"/>
            </w:pPr>
            <w:r w:rsidRPr="003873E6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за 2022 года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% исполнения к плану</w:t>
            </w:r>
          </w:p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2022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 года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ind w:firstLine="40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E03749" w:rsidRPr="003873E6" w:rsidRDefault="00E03749" w:rsidP="009770AE">
            <w:pPr>
              <w:shd w:val="clear" w:color="auto" w:fill="FFFFFF"/>
              <w:spacing w:line="271" w:lineRule="auto"/>
              <w:ind w:firstLine="40"/>
              <w:jc w:val="center"/>
            </w:pPr>
            <w:r w:rsidRPr="003873E6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за 2021 года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к аналогичному периоду прошлого года,</w:t>
            </w:r>
          </w:p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%</w:t>
            </w:r>
          </w:p>
        </w:tc>
      </w:tr>
      <w:tr w:rsidR="00E03749" w:rsidRPr="003873E6" w:rsidTr="009770AE">
        <w:trPr>
          <w:trHeight w:val="624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3749" w:rsidRPr="003873E6" w:rsidRDefault="00E03749" w:rsidP="009770AE">
            <w:pPr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749" w:rsidRPr="003873E6" w:rsidRDefault="00E03749" w:rsidP="00E03749">
            <w:pPr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0100</w:t>
            </w:r>
          </w:p>
          <w:p w:rsidR="00E03749" w:rsidRPr="003873E6" w:rsidRDefault="00E03749" w:rsidP="00E03749">
            <w:pPr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749" w:rsidRPr="003873E6" w:rsidRDefault="00E03749" w:rsidP="009770AE">
            <w:pPr>
              <w:spacing w:line="271" w:lineRule="auto"/>
              <w:jc w:val="center"/>
            </w:pPr>
            <w:r>
              <w:t>78 830,91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749" w:rsidRPr="003873E6" w:rsidRDefault="00E03749" w:rsidP="009770AE">
            <w:pPr>
              <w:jc w:val="center"/>
            </w:pPr>
            <w:r>
              <w:t>73 010,64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3749" w:rsidRPr="007031CC" w:rsidRDefault="00E03749" w:rsidP="009770AE">
            <w:pPr>
              <w:spacing w:line="271" w:lineRule="auto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92,6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60 955,30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119,8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0200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t>313,2</w:t>
            </w:r>
            <w:r>
              <w:t>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305,85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ind w:hanging="120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  97,7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243,60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ind w:hanging="12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125,6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0300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t>6</w:t>
            </w:r>
            <w:r>
              <w:t xml:space="preserve"> </w:t>
            </w:r>
            <w:r w:rsidRPr="003873E6">
              <w:t>947,16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6 681,69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ind w:firstLine="20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96,2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6 006,90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ind w:firstLine="2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111,2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0400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>
              <w:t>10 600,27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8 646,24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81,6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9 896,00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87,4</w:t>
            </w:r>
          </w:p>
        </w:tc>
      </w:tr>
      <w:tr w:rsidR="00E03749" w:rsidRPr="003873E6" w:rsidTr="009770AE">
        <w:trPr>
          <w:trHeight w:val="61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0500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>
              <w:t>130 321,89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56 688,32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ind w:hanging="120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43,5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78 217,30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ind w:hanging="12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72,5</w:t>
            </w:r>
          </w:p>
        </w:tc>
      </w:tr>
      <w:tr w:rsidR="00E03749" w:rsidRPr="003873E6" w:rsidTr="009770AE">
        <w:trPr>
          <w:trHeight w:val="262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0700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>
              <w:t>422 859,92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421 005,02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ind w:hanging="120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99,6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365 905,50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ind w:hanging="12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115,1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0800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Культура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>
              <w:t>31 260,82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31 260,82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ind w:hanging="120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25 834,40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ind w:hanging="12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121,0</w:t>
            </w:r>
          </w:p>
        </w:tc>
      </w:tr>
      <w:tr w:rsidR="00E03749" w:rsidRPr="003873E6" w:rsidTr="009770AE">
        <w:trPr>
          <w:trHeight w:val="289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0900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Здравоохранение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t>913,17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863,05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94,5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1 663,60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51,9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1000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>
              <w:t>23 011,16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22 250,70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ind w:hanging="120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96,7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19 797,20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ind w:hanging="12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112,4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1100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t>1212,55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 w:rsidRPr="003873E6">
              <w:t>1212,55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918,20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132,1</w:t>
            </w:r>
          </w:p>
        </w:tc>
      </w:tr>
      <w:tr w:rsidR="00E03749" w:rsidRPr="003873E6" w:rsidTr="009770AE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1200</w:t>
            </w:r>
          </w:p>
          <w:p w:rsidR="00E03749" w:rsidRPr="003873E6" w:rsidRDefault="00E03749" w:rsidP="00E03749">
            <w:pPr>
              <w:shd w:val="clear" w:color="auto" w:fill="FFFFFF"/>
              <w:spacing w:line="271" w:lineRule="auto"/>
              <w:ind w:left="142"/>
            </w:pPr>
            <w:r w:rsidRPr="003873E6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3873E6">
              <w:t>255,00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jc w:val="center"/>
            </w:pPr>
            <w:r>
              <w:t>232,30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7031CC" w:rsidRDefault="00E03749" w:rsidP="009770AE">
            <w:pPr>
              <w:shd w:val="clear" w:color="auto" w:fill="FFFFFF"/>
              <w:spacing w:line="271" w:lineRule="auto"/>
              <w:jc w:val="center"/>
            </w:pPr>
            <w:r w:rsidRPr="007031C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91,1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1 499,10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64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15,5</w:t>
            </w:r>
          </w:p>
        </w:tc>
      </w:tr>
      <w:tr w:rsidR="00E03749" w:rsidRPr="003873E6" w:rsidTr="009770AE">
        <w:trPr>
          <w:trHeight w:val="35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</w:pPr>
            <w:r w:rsidRPr="003873E6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ИТОГО</w:t>
            </w:r>
          </w:p>
        </w:tc>
        <w:tc>
          <w:tcPr>
            <w:tcW w:w="1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CB7348" w:rsidRDefault="00E03749" w:rsidP="009770AE">
            <w:pPr>
              <w:shd w:val="clear" w:color="auto" w:fill="FFFFFF"/>
              <w:spacing w:line="271" w:lineRule="auto"/>
              <w:jc w:val="center"/>
              <w:rPr>
                <w:b/>
              </w:rPr>
            </w:pPr>
            <w:r w:rsidRPr="00CB7348">
              <w:rPr>
                <w:b/>
              </w:rPr>
              <w:t>706 526,05</w:t>
            </w:r>
          </w:p>
        </w:tc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CB7348" w:rsidRDefault="00E03749" w:rsidP="009770AE">
            <w:pPr>
              <w:shd w:val="clear" w:color="auto" w:fill="FFFFFF"/>
              <w:jc w:val="center"/>
              <w:rPr>
                <w:b/>
              </w:rPr>
            </w:pPr>
            <w:r w:rsidRPr="00CB7348">
              <w:rPr>
                <w:b/>
              </w:rPr>
              <w:t>622 157,18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3873E6" w:rsidRDefault="00E03749" w:rsidP="009770AE">
            <w:pPr>
              <w:shd w:val="clear" w:color="auto" w:fill="FFFFFF"/>
              <w:spacing w:line="271" w:lineRule="auto"/>
              <w:jc w:val="center"/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88,1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3749" w:rsidRPr="003873E6" w:rsidRDefault="00E03749" w:rsidP="009770AE">
            <w:pPr>
              <w:jc w:val="center"/>
              <w:rPr>
                <w:b/>
              </w:rPr>
            </w:pPr>
            <w:r>
              <w:rPr>
                <w:b/>
              </w:rPr>
              <w:t>570937,10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3749" w:rsidRPr="00CB7348" w:rsidRDefault="00E03749" w:rsidP="009770AE">
            <w:pPr>
              <w:shd w:val="clear" w:color="auto" w:fill="FFFFFF"/>
              <w:spacing w:line="271" w:lineRule="auto"/>
              <w:ind w:firstLine="40"/>
              <w:jc w:val="center"/>
              <w:rPr>
                <w:b/>
              </w:rPr>
            </w:pPr>
            <w:r w:rsidRPr="00CB7348">
              <w:rPr>
                <w:b/>
              </w:rPr>
              <w:t>109,0</w:t>
            </w:r>
          </w:p>
        </w:tc>
      </w:tr>
    </w:tbl>
    <w:p w:rsidR="00E03749" w:rsidRPr="00A93102" w:rsidRDefault="00E03749" w:rsidP="00A93102">
      <w:pPr>
        <w:spacing w:line="271" w:lineRule="auto"/>
        <w:jc w:val="both"/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E03749" w:rsidRPr="003873E6" w:rsidRDefault="00E03749" w:rsidP="00E03749">
      <w:pPr>
        <w:spacing w:line="271" w:lineRule="auto"/>
        <w:ind w:firstLine="560"/>
        <w:jc w:val="both"/>
      </w:pPr>
      <w:r w:rsidRPr="003873E6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В целом, исполнение бюджета по итогам за 2022 год составляет:</w:t>
      </w:r>
    </w:p>
    <w:p w:rsidR="00E03749" w:rsidRPr="003873E6" w:rsidRDefault="00E03749" w:rsidP="00E03749">
      <w:pPr>
        <w:spacing w:line="271" w:lineRule="auto"/>
        <w:ind w:firstLine="560"/>
        <w:jc w:val="both"/>
      </w:pPr>
      <w:r w:rsidRPr="003873E6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-по доходам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102,1</w:t>
      </w:r>
      <w:r w:rsidRPr="003873E6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 ;</w:t>
      </w:r>
    </w:p>
    <w:p w:rsidR="00E03749" w:rsidRPr="003873E6" w:rsidRDefault="00E03749" w:rsidP="00E03749">
      <w:pPr>
        <w:spacing w:line="271" w:lineRule="auto"/>
        <w:ind w:firstLine="560"/>
        <w:jc w:val="both"/>
      </w:pPr>
      <w:r w:rsidRPr="003873E6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-по расходам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88,2</w:t>
      </w:r>
      <w:r w:rsidRPr="003873E6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%.</w:t>
      </w:r>
    </w:p>
    <w:p w:rsidR="00E14C0B" w:rsidRDefault="00E14C0B"/>
    <w:sectPr w:rsidR="00E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C"/>
    <w:rsid w:val="00356ADF"/>
    <w:rsid w:val="00A93102"/>
    <w:rsid w:val="00E03749"/>
    <w:rsid w:val="00E14C0B"/>
    <w:rsid w:val="00F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4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2023-11-30T10:28:00Z</dcterms:created>
  <dcterms:modified xsi:type="dcterms:W3CDTF">2023-11-30T10:29:00Z</dcterms:modified>
</cp:coreProperties>
</file>